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财政支出项目</w:t>
      </w:r>
      <w:r>
        <w:rPr>
          <w:rFonts w:hint="eastAsia" w:ascii="宋体" w:hAnsi="宋体" w:cs="宋体"/>
          <w:b/>
          <w:bCs/>
          <w:color w:val="auto"/>
          <w:sz w:val="44"/>
          <w:szCs w:val="44"/>
          <w:highlight w:val="none"/>
          <w:lang w:eastAsia="zh-CN"/>
        </w:rPr>
        <w:t>综合事务</w:t>
      </w:r>
      <w:r>
        <w:rPr>
          <w:rFonts w:hint="eastAsia" w:ascii="宋体" w:hAnsi="宋体" w:eastAsia="宋体" w:cs="宋体"/>
          <w:b/>
          <w:bCs/>
          <w:color w:val="auto"/>
          <w:sz w:val="44"/>
          <w:szCs w:val="44"/>
        </w:rPr>
        <w:t>绩效评价报告</w:t>
      </w:r>
    </w:p>
    <w:p>
      <w:pPr>
        <w:rPr>
          <w:rFonts w:hint="eastAsia" w:ascii="宋体" w:hAnsi="宋体" w:eastAsia="宋体" w:cs="宋体"/>
          <w:color w:val="auto"/>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（一）项目单位基本情况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eastAsia="zh-CN"/>
        </w:rPr>
        <w:t>儋州市人民法院是国家审判机关，依法行使审判权，在儋州市委统一领导下，对儋州市人民代表大会和儋州市人民代表大会常务委员会负责并报告工作。</w:t>
      </w:r>
    </w:p>
    <w:p>
      <w:pPr>
        <w:ind w:firstLine="560" w:firstLineChars="200"/>
        <w:rPr>
          <w:rFonts w:hint="eastAsia" w:ascii="宋体" w:hAnsi="宋体" w:eastAsia="宋体"/>
          <w:color w:val="auto"/>
          <w:sz w:val="28"/>
          <w:lang w:eastAsia="zh-CN"/>
        </w:rPr>
      </w:pPr>
      <w:r>
        <w:rPr>
          <w:rFonts w:hint="eastAsia" w:ascii="宋体" w:hAnsi="宋体" w:eastAsia="宋体"/>
          <w:sz w:val="28"/>
          <w:szCs w:val="32"/>
          <w:lang w:eastAsia="zh-CN"/>
        </w:rPr>
        <w:t>儋州市人民法院</w:t>
      </w:r>
      <w:r>
        <w:rPr>
          <w:rFonts w:hint="eastAsia" w:ascii="宋体" w:hAnsi="宋体" w:eastAsia="宋体"/>
          <w:sz w:val="28"/>
          <w:szCs w:val="32"/>
        </w:rPr>
        <w:t>核定公务员编制1</w:t>
      </w:r>
      <w:r>
        <w:rPr>
          <w:rFonts w:hint="eastAsia" w:ascii="宋体" w:hAnsi="宋体" w:eastAsia="宋体"/>
          <w:sz w:val="28"/>
          <w:szCs w:val="32"/>
          <w:lang w:val="en-US" w:eastAsia="zh-CN"/>
        </w:rPr>
        <w:t>31</w:t>
      </w:r>
      <w:r>
        <w:rPr>
          <w:rFonts w:hint="eastAsia" w:ascii="宋体" w:hAnsi="宋体" w:eastAsia="宋体"/>
          <w:sz w:val="28"/>
          <w:szCs w:val="32"/>
        </w:rPr>
        <w:t>人，工勤编制</w:t>
      </w:r>
      <w:r>
        <w:rPr>
          <w:rFonts w:hint="eastAsia" w:ascii="宋体" w:hAnsi="宋体"/>
          <w:sz w:val="28"/>
          <w:szCs w:val="32"/>
          <w:lang w:eastAsia="zh-CN"/>
        </w:rPr>
        <w:t>实有人数</w:t>
      </w:r>
      <w:r>
        <w:rPr>
          <w:rFonts w:hint="eastAsia" w:ascii="宋体" w:hAnsi="宋体"/>
          <w:sz w:val="28"/>
          <w:szCs w:val="32"/>
          <w:lang w:val="en-US" w:eastAsia="zh-CN"/>
        </w:rPr>
        <w:t>8</w:t>
      </w:r>
      <w:r>
        <w:rPr>
          <w:rFonts w:hint="eastAsia" w:ascii="宋体" w:hAnsi="宋体" w:eastAsia="宋体"/>
          <w:sz w:val="28"/>
          <w:szCs w:val="32"/>
        </w:rPr>
        <w:t>人</w:t>
      </w:r>
      <w:r>
        <w:rPr>
          <w:rFonts w:hint="eastAsia" w:ascii="宋体" w:hAnsi="宋体" w:eastAsia="宋体"/>
          <w:sz w:val="28"/>
          <w:szCs w:val="32"/>
          <w:lang w:eastAsia="zh-CN"/>
        </w:rPr>
        <w:t>，</w:t>
      </w:r>
      <w:r>
        <w:rPr>
          <w:rFonts w:hint="eastAsia" w:ascii="宋体" w:hAnsi="宋体" w:eastAsia="宋体"/>
          <w:sz w:val="28"/>
          <w:szCs w:val="32"/>
        </w:rPr>
        <w:t>内设1</w:t>
      </w:r>
      <w:r>
        <w:rPr>
          <w:rFonts w:hint="eastAsia" w:ascii="宋体" w:hAnsi="宋体" w:eastAsia="宋体"/>
          <w:sz w:val="28"/>
          <w:szCs w:val="32"/>
          <w:lang w:val="en-US" w:eastAsia="zh-CN"/>
        </w:rPr>
        <w:t>7</w:t>
      </w:r>
      <w:r>
        <w:rPr>
          <w:rFonts w:hint="eastAsia" w:ascii="宋体" w:hAnsi="宋体" w:eastAsia="宋体"/>
          <w:sz w:val="28"/>
          <w:szCs w:val="32"/>
        </w:rPr>
        <w:t>个职能部门。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（二）项目基本性质、用途和主要内容、涉及范围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此预算项目是经财政</w:t>
      </w:r>
      <w:r>
        <w:rPr>
          <w:rFonts w:hint="eastAsia" w:ascii="宋体" w:hAnsi="宋体" w:eastAsia="宋体" w:cs="宋体"/>
          <w:color w:val="auto"/>
          <w:sz w:val="28"/>
          <w:szCs w:val="28"/>
          <w:highlight w:val="none"/>
          <w:lang w:eastAsia="zh-CN"/>
        </w:rPr>
        <w:t>预算批复，用于保障法院司法审判事业顺利而进行的各项资金支出及应用。主</w:t>
      </w:r>
      <w:r>
        <w:rPr>
          <w:rFonts w:hint="eastAsia" w:ascii="宋体" w:hAnsi="宋体" w:eastAsia="宋体" w:cs="宋体"/>
          <w:color w:val="auto"/>
          <w:sz w:val="28"/>
          <w:szCs w:val="28"/>
          <w:lang w:eastAsia="zh-CN"/>
        </w:rPr>
        <w:t>要内容有差旅、公车维护、培训、印刷、邮寄、移动办公，范围涉及审判业务工作等多个方面。</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（三）跨年度项目的预期总目标及阶段性目标</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本项目不是跨年度项目。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二、项目资金使用及管理情况</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（一）项目资金到位情况分析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此项目资金为财政全额拨款，已全部到位。</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（二）项目资金使用情况分析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资金整体使用状况良好，对比上一预算年度，在案件量不断增长，人员紧缺的情况下很好的发挥了预算资金的保障作用，使案件审判的工作效益得到极大提高。</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项目资金管理情况分析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为了实现对资金的合理使用，单位成立了预算项目管理小组，制订了《项目资金管理办法》，在管理使用过程中严格执行。指定专门财务人员负责日常检查监督管理工作，对资金使用进行过程控制，发现问题及时汇报，合理解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三、项目组织实施情况</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项目组织情况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此项目非工程项目，无招投标及现场验收等情况。</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项目管理情况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无。</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项目绩效情况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（一）项目绩效目标完成情况分析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1.项目的经济型分析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）项目成本控制情况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项目实施严格按照预算执行，在预算年度及时完成，完成质量良好。对项目内分项目实行规范化管理，逐个分析各项成本情况，结合财政法规，充分发挥财务人员专业知识及主观能动，在整体控制上达到预期效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）项目成本节约情况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在中央及省委厉行节约精神的要求下，本着高效节约的原则，控制项目实施过程，按照财务制度相关要求，对每一项支出严格把关，避免不必要的浪费，有效节约了项目成本，提高了资金使用效率。</w:t>
      </w:r>
    </w:p>
    <w:p>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项目的效率性分析</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项目的实施进度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此项目按照预算批复指标逐项实施完成，支出进度与预算年度一致。</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项目的完成质量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各项支出完成质量良好，效益显著，得到干警及当事人的一致好评。  </w:t>
      </w:r>
    </w:p>
    <w:p>
      <w:pPr>
        <w:keepNext w:val="0"/>
        <w:keepLines w:val="0"/>
        <w:pageBreakBefore w:val="0"/>
        <w:widowControl/>
        <w:numPr>
          <w:ilvl w:val="0"/>
          <w:numId w:val="6"/>
        </w:numPr>
        <w:shd w:val="clear" w:color="auto" w:fill="FFFFFF"/>
        <w:kinsoku/>
        <w:wordWrap/>
        <w:overflowPunct/>
        <w:topLinePunct w:val="0"/>
        <w:autoSpaceDE/>
        <w:autoSpaceDN/>
        <w:bidi w:val="0"/>
        <w:snapToGrid w:val="0"/>
        <w:spacing w:before="0" w:beforeLines="0" w:after="0" w:afterLines="0" w:line="540" w:lineRule="exact"/>
        <w:ind w:left="0" w:leftChars="0"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项目的效益性分析</w:t>
      </w:r>
    </w:p>
    <w:p>
      <w:pPr>
        <w:keepNext w:val="0"/>
        <w:keepLines w:val="0"/>
        <w:pageBreakBefore w:val="0"/>
        <w:widowControl/>
        <w:numPr>
          <w:ilvl w:val="0"/>
          <w:numId w:val="7"/>
        </w:numPr>
        <w:shd w:val="clear" w:color="auto" w:fill="FFFFFF"/>
        <w:kinsoku/>
        <w:wordWrap/>
        <w:overflowPunct/>
        <w:topLinePunct w:val="0"/>
        <w:autoSpaceDE/>
        <w:autoSpaceDN/>
        <w:bidi w:val="0"/>
        <w:snapToGrid w:val="0"/>
        <w:spacing w:before="0" w:beforeLines="0" w:after="0" w:afterLines="0" w:line="540" w:lineRule="exact"/>
        <w:ind w:leftChars="200" w:right="0" w:righ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项目预算目标完成程度</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预算年度内本项目各项预算目标顺利完成，有力保障了单位审判执行等各项工作顺利开展。</w:t>
      </w:r>
    </w:p>
    <w:p>
      <w:pPr>
        <w:keepNext w:val="0"/>
        <w:keepLines w:val="0"/>
        <w:pageBreakBefore w:val="0"/>
        <w:widowControl/>
        <w:numPr>
          <w:ilvl w:val="0"/>
          <w:numId w:val="7"/>
        </w:numPr>
        <w:shd w:val="clear" w:color="auto" w:fill="FFFFFF"/>
        <w:kinsoku/>
        <w:wordWrap/>
        <w:overflowPunct/>
        <w:topLinePunct w:val="0"/>
        <w:autoSpaceDE/>
        <w:autoSpaceDN/>
        <w:bidi w:val="0"/>
        <w:snapToGrid w:val="0"/>
        <w:spacing w:before="0" w:beforeLines="0" w:after="0" w:afterLines="0" w:line="540" w:lineRule="exact"/>
        <w:ind w:leftChars="200" w:right="0" w:righ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项目实施对经济和社会的影响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b w:val="0"/>
          <w:bCs w:val="0"/>
          <w:color w:val="auto"/>
          <w:sz w:val="28"/>
          <w:szCs w:val="28"/>
          <w:lang w:eastAsia="zh-CN"/>
        </w:rPr>
        <w:t>各类审判工作成效明显，有效地维护了</w:t>
      </w:r>
      <w:r>
        <w:rPr>
          <w:rFonts w:hint="eastAsia" w:ascii="宋体" w:hAnsi="宋体" w:cs="宋体"/>
          <w:b w:val="0"/>
          <w:bCs w:val="0"/>
          <w:color w:val="auto"/>
          <w:sz w:val="28"/>
          <w:szCs w:val="28"/>
          <w:lang w:eastAsia="zh-CN"/>
        </w:rPr>
        <w:t>儋州</w:t>
      </w:r>
      <w:r>
        <w:rPr>
          <w:rFonts w:hint="eastAsia" w:ascii="宋体" w:hAnsi="宋体" w:eastAsia="宋体" w:cs="宋体"/>
          <w:b w:val="0"/>
          <w:bCs w:val="0"/>
          <w:color w:val="auto"/>
          <w:sz w:val="28"/>
          <w:szCs w:val="28"/>
          <w:lang w:eastAsia="zh-CN"/>
        </w:rPr>
        <w:t>地区社会稳定，经济发展和人民安居乐业。</w:t>
      </w:r>
      <w:r>
        <w:rPr>
          <w:rFonts w:hint="eastAsia" w:ascii="宋体" w:hAnsi="宋体" w:eastAsia="宋体" w:cs="宋体"/>
          <w:color w:val="auto"/>
          <w:sz w:val="28"/>
          <w:szCs w:val="28"/>
          <w:lang w:eastAsia="zh-CN"/>
        </w:rPr>
        <w:t>为地区经济社会发展提供了持续有力的司法保障与支持。</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4.项目的可持续性分析</w:t>
      </w:r>
    </w:p>
    <w:p>
      <w:pPr>
        <w:keepNext w:val="0"/>
        <w:keepLines w:val="0"/>
        <w:pageBreakBefore w:val="0"/>
        <w:widowControl/>
        <w:shd w:val="clear" w:color="auto" w:fill="FFFFFF"/>
        <w:kinsoku/>
        <w:wordWrap/>
        <w:overflowPunct/>
        <w:topLinePunct w:val="0"/>
        <w:autoSpaceDE/>
        <w:autoSpaceDN/>
        <w:bidi w:val="0"/>
        <w:snapToGrid w:val="0"/>
        <w:spacing w:before="0" w:beforeLines="0" w:after="0" w:afterLines="0" w:line="540" w:lineRule="exact"/>
        <w:ind w:left="0" w:leftChars="0" w:right="0" w:rightChars="0"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通过历年以来对审判业务专项资金的使用管理，制度建设有力、人员配备齐整，整体上已经形成了一套比较成熟的管理模式。随着审判业务的开展及各项财政政策的完善，此预算项目将更加有效促进各项审判业务的持续发展。</w:t>
      </w:r>
    </w:p>
    <w:p>
      <w:pPr>
        <w:keepNext w:val="0"/>
        <w:keepLines w:val="0"/>
        <w:pageBreakBefore w:val="0"/>
        <w:widowControl/>
        <w:numPr>
          <w:ilvl w:val="0"/>
          <w:numId w:val="8"/>
        </w:numPr>
        <w:shd w:val="clear" w:color="auto" w:fill="FFFFFF"/>
        <w:kinsoku/>
        <w:wordWrap/>
        <w:overflowPunct/>
        <w:topLinePunct w:val="0"/>
        <w:autoSpaceDE/>
        <w:autoSpaceDN/>
        <w:bidi w:val="0"/>
        <w:snapToGrid w:val="0"/>
        <w:spacing w:before="0" w:beforeLines="0" w:after="0" w:afterLines="0" w:line="540" w:lineRule="exact"/>
        <w:ind w:left="0" w:leftChars="0" w:right="0" w:righ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项目预算批复的绩效指标完成情况分析</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20</w:t>
      </w:r>
      <w:r>
        <w:rPr>
          <w:rFonts w:hint="eastAsia" w:ascii="宋体" w:hAnsi="宋体" w:cs="宋体"/>
          <w:color w:val="auto"/>
          <w:sz w:val="28"/>
          <w:szCs w:val="28"/>
          <w:highlight w:val="none"/>
          <w:lang w:val="en-US" w:eastAsia="zh-CN"/>
        </w:rPr>
        <w:t>17</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综合事务</w:t>
      </w:r>
      <w:r>
        <w:rPr>
          <w:rFonts w:hint="eastAsia" w:ascii="宋体" w:hAnsi="宋体" w:eastAsia="宋体" w:cs="宋体"/>
          <w:color w:val="auto"/>
          <w:sz w:val="28"/>
          <w:szCs w:val="28"/>
          <w:highlight w:val="none"/>
          <w:lang w:val="en-US" w:eastAsia="zh-CN"/>
        </w:rPr>
        <w:t>预算批复绩效指标完成情况：</w:t>
      </w:r>
    </w:p>
    <w:p>
      <w:pPr>
        <w:keepNext w:val="0"/>
        <w:keepLines w:val="0"/>
        <w:pageBreakBefore w:val="0"/>
        <w:widowControl/>
        <w:numPr>
          <w:ilvl w:val="0"/>
          <w:numId w:val="9"/>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产出指标</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cs="宋体"/>
          <w:b w:val="0"/>
          <w:bCs w:val="0"/>
          <w:color w:val="auto"/>
          <w:sz w:val="28"/>
          <w:szCs w:val="28"/>
          <w:highlight w:val="none"/>
          <w:lang w:val="en-US" w:eastAsia="zh-CN"/>
        </w:rPr>
      </w:pPr>
      <w:r>
        <w:rPr>
          <w:rFonts w:hint="eastAsia" w:ascii="宋体" w:hAnsi="宋体" w:eastAsia="宋体" w:cs="宋体"/>
          <w:color w:val="auto"/>
          <w:sz w:val="28"/>
          <w:szCs w:val="28"/>
          <w:highlight w:val="none"/>
          <w:lang w:val="en-US" w:eastAsia="zh-CN"/>
        </w:rPr>
        <w:sym w:font="Wingdings" w:char="F081"/>
      </w:r>
      <w:r>
        <w:rPr>
          <w:rFonts w:hint="eastAsia" w:ascii="宋体" w:hAnsi="宋体" w:cs="宋体"/>
          <w:b w:val="0"/>
          <w:bCs w:val="0"/>
          <w:color w:val="auto"/>
          <w:sz w:val="28"/>
          <w:szCs w:val="28"/>
          <w:highlight w:val="none"/>
          <w:lang w:val="en-US" w:eastAsia="zh-CN"/>
        </w:rPr>
        <w:t>服装质量</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为干警更换制服，制服无破损、无不合身情况，绩效标准优（95分以上）</w:t>
      </w:r>
      <w:r>
        <w:rPr>
          <w:rFonts w:hint="eastAsia" w:ascii="宋体" w:hAnsi="宋体" w:eastAsia="宋体" w:cs="宋体"/>
          <w:b w:val="0"/>
          <w:bCs w:val="0"/>
          <w:color w:val="auto"/>
          <w:sz w:val="28"/>
          <w:szCs w:val="28"/>
          <w:highlight w:val="none"/>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（2）成效指标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sym w:font="Wingdings" w:char="F081"/>
      </w:r>
      <w:r>
        <w:rPr>
          <w:rFonts w:hint="eastAsia" w:ascii="宋体" w:hAnsi="宋体" w:cs="宋体"/>
          <w:b w:val="0"/>
          <w:bCs w:val="0"/>
          <w:color w:val="auto"/>
          <w:sz w:val="28"/>
          <w:szCs w:val="28"/>
          <w:highlight w:val="none"/>
          <w:lang w:val="en-US" w:eastAsia="zh-CN"/>
        </w:rPr>
        <w:t>服装发放率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为干警测量尺寸后，督促厂商及时制衣，按进度给付货款，不影响审判工作需要，按时发放制服</w:t>
      </w:r>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按时发放</w:t>
      </w:r>
      <w:r>
        <w:rPr>
          <w:rFonts w:hint="eastAsia" w:ascii="宋体" w:hAnsi="宋体" w:eastAsia="宋体" w:cs="宋体"/>
          <w:b w:val="0"/>
          <w:bCs w:val="0"/>
          <w:color w:val="auto"/>
          <w:sz w:val="28"/>
          <w:szCs w:val="28"/>
          <w:highlight w:val="none"/>
          <w:lang w:val="en-US" w:eastAsia="zh-CN"/>
        </w:rPr>
        <w:t>）；</w:t>
      </w:r>
    </w:p>
    <w:p>
      <w:pPr>
        <w:keepNext w:val="0"/>
        <w:keepLines w:val="0"/>
        <w:pageBreakBefore w:val="0"/>
        <w:widowControl/>
        <w:numPr>
          <w:ilvl w:val="0"/>
          <w:numId w:val="10"/>
        </w:numPr>
        <w:shd w:val="clear" w:color="auto" w:fill="FFFFFF"/>
        <w:kinsoku/>
        <w:wordWrap/>
        <w:overflowPunct/>
        <w:topLinePunct w:val="0"/>
        <w:autoSpaceDE/>
        <w:autoSpaceDN/>
        <w:bidi w:val="0"/>
        <w:snapToGrid w:val="0"/>
        <w:spacing w:before="0" w:beforeLines="0" w:after="0" w:afterLines="0" w:line="540" w:lineRule="exact"/>
        <w:ind w:leftChars="200" w:right="0" w:right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项目绩效目标未完成原因分析</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绩效目标全部完成。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综合评价</w:t>
      </w:r>
      <w:r>
        <w:rPr>
          <w:rFonts w:hint="eastAsia" w:ascii="宋体" w:hAnsi="宋体" w:eastAsia="宋体" w:cs="宋体"/>
          <w:color w:val="auto"/>
          <w:sz w:val="28"/>
          <w:szCs w:val="28"/>
          <w:lang w:eastAsia="zh-CN"/>
        </w:rPr>
        <w:t>及评价结论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审判业务是法院工作的绝对重心，</w:t>
      </w:r>
      <w:r>
        <w:rPr>
          <w:rFonts w:hint="eastAsia" w:ascii="宋体" w:hAnsi="宋体" w:cs="宋体"/>
          <w:color w:val="auto"/>
          <w:sz w:val="28"/>
          <w:szCs w:val="28"/>
          <w:lang w:eastAsia="zh-CN"/>
        </w:rPr>
        <w:t>而后勤的工作则是审判业务的保障，综合事务</w:t>
      </w:r>
      <w:r>
        <w:rPr>
          <w:rFonts w:hint="eastAsia" w:ascii="宋体" w:hAnsi="宋体" w:eastAsia="宋体" w:cs="宋体"/>
          <w:color w:val="auto"/>
          <w:sz w:val="28"/>
          <w:szCs w:val="28"/>
          <w:lang w:eastAsia="zh-CN"/>
        </w:rPr>
        <w:t>资金为</w:t>
      </w:r>
      <w:r>
        <w:rPr>
          <w:rFonts w:hint="eastAsia" w:ascii="宋体" w:hAnsi="宋体" w:cs="宋体"/>
          <w:color w:val="auto"/>
          <w:sz w:val="28"/>
          <w:szCs w:val="28"/>
          <w:lang w:eastAsia="zh-CN"/>
        </w:rPr>
        <w:t>后勤工作</w:t>
      </w:r>
      <w:r>
        <w:rPr>
          <w:rFonts w:hint="eastAsia" w:ascii="宋体" w:hAnsi="宋体" w:eastAsia="宋体" w:cs="宋体"/>
          <w:color w:val="auto"/>
          <w:sz w:val="28"/>
          <w:szCs w:val="28"/>
          <w:lang w:eastAsia="zh-CN"/>
        </w:rPr>
        <w:t>提供了专门的资金支持，使</w:t>
      </w:r>
      <w:r>
        <w:rPr>
          <w:rFonts w:hint="eastAsia" w:ascii="宋体" w:hAnsi="宋体" w:cs="宋体"/>
          <w:color w:val="auto"/>
          <w:sz w:val="28"/>
          <w:szCs w:val="28"/>
          <w:lang w:eastAsia="zh-CN"/>
        </w:rPr>
        <w:t>后勤工作</w:t>
      </w:r>
      <w:r>
        <w:rPr>
          <w:rFonts w:hint="eastAsia" w:ascii="宋体" w:hAnsi="宋体" w:eastAsia="宋体" w:cs="宋体"/>
          <w:color w:val="auto"/>
          <w:sz w:val="28"/>
          <w:szCs w:val="28"/>
          <w:lang w:eastAsia="zh-CN"/>
        </w:rPr>
        <w:t>良好开展成为可能。通过管理使用此项目资金，达到了保障</w:t>
      </w:r>
      <w:r>
        <w:rPr>
          <w:rFonts w:hint="eastAsia" w:ascii="宋体" w:hAnsi="宋体" w:cs="宋体"/>
          <w:color w:val="auto"/>
          <w:sz w:val="28"/>
          <w:szCs w:val="28"/>
          <w:lang w:eastAsia="zh-CN"/>
        </w:rPr>
        <w:t>后勤、</w:t>
      </w:r>
      <w:r>
        <w:rPr>
          <w:rFonts w:hint="eastAsia" w:ascii="宋体" w:hAnsi="宋体" w:eastAsia="宋体" w:cs="宋体"/>
          <w:color w:val="auto"/>
          <w:sz w:val="28"/>
          <w:szCs w:val="28"/>
          <w:lang w:eastAsia="zh-CN"/>
        </w:rPr>
        <w:t>审判、节约效能的目的。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六、主要经验做法及问题建议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在项目实施过程中，我单位高度重视，分管副院长负责，行装处财务室负责具体项目实施，各岗位人员各司其职，最终圆满完成年度预算计划，有力保障了单位全年审判工作，在</w:t>
      </w:r>
      <w:r>
        <w:rPr>
          <w:rFonts w:hint="eastAsia" w:ascii="宋体" w:hAnsi="宋体" w:cs="宋体"/>
          <w:color w:val="auto"/>
          <w:sz w:val="28"/>
          <w:szCs w:val="28"/>
          <w:lang w:eastAsia="zh-CN"/>
        </w:rPr>
        <w:t>儋州</w:t>
      </w:r>
      <w:r>
        <w:rPr>
          <w:rFonts w:hint="eastAsia" w:ascii="宋体" w:hAnsi="宋体" w:eastAsia="宋体" w:cs="宋体"/>
          <w:color w:val="auto"/>
          <w:sz w:val="28"/>
          <w:szCs w:val="28"/>
          <w:lang w:eastAsia="zh-CN"/>
        </w:rPr>
        <w:t>地区产生了良好的司法效果，化解大量社会矛盾，彰显了公平正义。</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我单位将继续秉承上年度预算项目管理有益经验，改进工作中的不足，使预算资金使用更加科学合理，节约效能，通过预算项目合理支出为单位乃至整个</w:t>
      </w:r>
      <w:r>
        <w:rPr>
          <w:rFonts w:hint="eastAsia" w:ascii="宋体" w:hAnsi="宋体" w:cs="宋体"/>
          <w:color w:val="auto"/>
          <w:sz w:val="28"/>
          <w:szCs w:val="28"/>
          <w:lang w:eastAsia="zh-CN"/>
        </w:rPr>
        <w:t>儋州</w:t>
      </w:r>
      <w:r>
        <w:rPr>
          <w:rFonts w:hint="eastAsia" w:ascii="宋体" w:hAnsi="宋体" w:eastAsia="宋体" w:cs="宋体"/>
          <w:color w:val="auto"/>
          <w:sz w:val="28"/>
          <w:szCs w:val="28"/>
          <w:lang w:eastAsia="zh-CN"/>
        </w:rPr>
        <w:t>地区司法事业增添助力。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s="宋体"/>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right"/>
        <w:textAlignment w:val="auto"/>
        <w:outlineLvl w:val="9"/>
        <w:rPr>
          <w:rFonts w:hint="eastAsia" w:ascii="宋体" w:hAnsi="宋体" w:eastAsia="宋体" w:cs="宋体"/>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righ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绩效评价工作小组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righ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201</w:t>
      </w: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val="en-US" w:eastAsia="zh-CN"/>
        </w:rPr>
        <w:t>年</w:t>
      </w:r>
      <w:r>
        <w:rPr>
          <w:rFonts w:hint="eastAsia" w:ascii="宋体" w:hAnsi="宋体" w:cs="宋体"/>
          <w:color w:val="auto"/>
          <w:sz w:val="28"/>
          <w:szCs w:val="28"/>
          <w:lang w:val="en-US" w:eastAsia="zh-CN"/>
        </w:rPr>
        <w:t>6</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25</w:t>
      </w:r>
      <w:r>
        <w:rPr>
          <w:rFonts w:hint="eastAsia" w:ascii="宋体" w:hAnsi="宋体" w:eastAsia="宋体" w:cs="宋体"/>
          <w:color w:val="auto"/>
          <w:sz w:val="28"/>
          <w:szCs w:val="28"/>
          <w:lang w:val="en-US" w:eastAsia="zh-CN"/>
        </w:rPr>
        <w:t>日</w:t>
      </w:r>
    </w:p>
    <w:p>
      <w:pPr>
        <w:rPr>
          <w:rFonts w:hint="eastAsia" w:ascii="宋体" w:hAnsi="宋体" w:eastAsia="宋体" w:cs="宋体"/>
          <w:sz w:val="28"/>
          <w:szCs w:val="28"/>
        </w:rPr>
      </w:pPr>
    </w:p>
    <w:p>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
    <w:nsid w:val="0000000E"/>
    <w:multiLevelType w:val="singleLevel"/>
    <w:tmpl w:val="0000000E"/>
    <w:lvl w:ilvl="0" w:tentative="1">
      <w:start w:val="1"/>
      <w:numFmt w:val="chineseCounting"/>
      <w:suff w:val="nothing"/>
      <w:lvlText w:val="（%1）"/>
      <w:lvlJc w:val="left"/>
    </w:lvl>
  </w:abstractNum>
  <w:abstractNum w:abstractNumId="7">
    <w:nsid w:val="00000007"/>
    <w:multiLevelType w:val="singleLevel"/>
    <w:tmpl w:val="00000007"/>
    <w:lvl w:ilvl="0" w:tentative="1">
      <w:start w:val="3"/>
      <w:numFmt w:val="chineseCounting"/>
      <w:suff w:val="nothing"/>
      <w:lvlText w:val="（%1）"/>
      <w:lvlJc w:val="left"/>
    </w:lvl>
  </w:abstractNum>
  <w:abstractNum w:abstractNumId="9">
    <w:nsid w:val="00000009"/>
    <w:multiLevelType w:val="singleLevel"/>
    <w:tmpl w:val="00000009"/>
    <w:lvl w:ilvl="0" w:tentative="1">
      <w:start w:val="1"/>
      <w:numFmt w:val="chineseCounting"/>
      <w:suff w:val="nothing"/>
      <w:lvlText w:val="%1、"/>
      <w:lvlJc w:val="left"/>
    </w:lvl>
  </w:abstractNum>
  <w:abstractNum w:abstractNumId="10">
    <w:nsid w:val="0000000A"/>
    <w:multiLevelType w:val="singleLevel"/>
    <w:tmpl w:val="0000000A"/>
    <w:lvl w:ilvl="0" w:tentative="1">
      <w:start w:val="2"/>
      <w:numFmt w:val="decimal"/>
      <w:suff w:val="nothing"/>
      <w:lvlText w:val="%1."/>
      <w:lvlJc w:val="left"/>
    </w:lvl>
  </w:abstractNum>
  <w:abstractNum w:abstractNumId="11">
    <w:nsid w:val="0000000B"/>
    <w:multiLevelType w:val="singleLevel"/>
    <w:tmpl w:val="0000000B"/>
    <w:lvl w:ilvl="0" w:tentative="1">
      <w:start w:val="1"/>
      <w:numFmt w:val="decimal"/>
      <w:suff w:val="nothing"/>
      <w:lvlText w:val="（%1）"/>
      <w:lvlJc w:val="left"/>
    </w:lvl>
  </w:abstractNum>
  <w:abstractNum w:abstractNumId="12">
    <w:nsid w:val="0000000C"/>
    <w:multiLevelType w:val="singleLevel"/>
    <w:tmpl w:val="0000000C"/>
    <w:lvl w:ilvl="0" w:tentative="1">
      <w:start w:val="3"/>
      <w:numFmt w:val="decimal"/>
      <w:suff w:val="nothing"/>
      <w:lvlText w:val="%1."/>
      <w:lvlJc w:val="left"/>
    </w:lvl>
  </w:abstractNum>
  <w:abstractNum w:abstractNumId="6">
    <w:nsid w:val="00000006"/>
    <w:multiLevelType w:val="singleLevel"/>
    <w:tmpl w:val="00000006"/>
    <w:lvl w:ilvl="0" w:tentative="1">
      <w:start w:val="1"/>
      <w:numFmt w:val="decimal"/>
      <w:suff w:val="nothing"/>
      <w:lvlText w:val="（%1）"/>
      <w:lvlJc w:val="left"/>
    </w:lvl>
  </w:abstractNum>
  <w:abstractNum w:abstractNumId="8">
    <w:nsid w:val="00000008"/>
    <w:multiLevelType w:val="singleLevel"/>
    <w:tmpl w:val="00000008"/>
    <w:lvl w:ilvl="0" w:tentative="1">
      <w:start w:val="5"/>
      <w:numFmt w:val="decimal"/>
      <w:suff w:val="nothing"/>
      <w:lvlText w:val="%1."/>
      <w:lvlJc w:val="left"/>
    </w:lvl>
  </w:abstractNum>
  <w:abstractNum w:abstractNumId="1462434517">
    <w:nsid w:val="572AFAD5"/>
    <w:multiLevelType w:val="singleLevel"/>
    <w:tmpl w:val="572AFAD5"/>
    <w:lvl w:ilvl="0" w:tentative="1">
      <w:start w:val="1"/>
      <w:numFmt w:val="decimal"/>
      <w:suff w:val="nothing"/>
      <w:lvlText w:val="（%1）"/>
      <w:lvlJc w:val="left"/>
    </w:lvl>
  </w:abstractNum>
  <w:abstractNum w:abstractNumId="13">
    <w:nsid w:val="0000000D"/>
    <w:multiLevelType w:val="singleLevel"/>
    <w:tmpl w:val="0000000D"/>
    <w:lvl w:ilvl="0" w:tentative="1">
      <w:start w:val="2"/>
      <w:numFmt w:val="chineseCounting"/>
      <w:suff w:val="nothing"/>
      <w:lvlText w:val="（%1）"/>
      <w:lvlJc w:val="left"/>
    </w:lvl>
  </w:abstractNum>
  <w:num w:numId="1">
    <w:abstractNumId w:val="9"/>
  </w:num>
  <w:num w:numId="2">
    <w:abstractNumId w:val="7"/>
  </w:num>
  <w:num w:numId="3">
    <w:abstractNumId w:val="14"/>
  </w:num>
  <w:num w:numId="4">
    <w:abstractNumId w:val="10"/>
  </w:num>
  <w:num w:numId="5">
    <w:abstractNumId w:val="11"/>
  </w:num>
  <w:num w:numId="6">
    <w:abstractNumId w:val="12"/>
  </w:num>
  <w:num w:numId="7">
    <w:abstractNumId w:val="6"/>
  </w:num>
  <w:num w:numId="8">
    <w:abstractNumId w:val="8"/>
  </w:num>
  <w:num w:numId="9">
    <w:abstractNumId w:val="1462434517"/>
  </w:num>
  <w:num w:numId="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F69F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2018-07-30T01:48:18Z</dcterms:modified>
  <dc:title>财政支出项目综合事务绩效评价报告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