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财政支出项目</w:t>
      </w:r>
      <w:r>
        <w:rPr>
          <w:rFonts w:hint="eastAsia" w:ascii="宋体" w:hAnsi="宋体" w:cs="宋体"/>
          <w:b/>
          <w:bCs/>
          <w:color w:val="auto"/>
          <w:sz w:val="44"/>
          <w:szCs w:val="44"/>
          <w:highlight w:val="none"/>
          <w:lang w:eastAsia="zh-CN"/>
        </w:rPr>
        <w:t>政法转移支付</w:t>
      </w:r>
      <w:r>
        <w:rPr>
          <w:rFonts w:hint="eastAsia" w:ascii="宋体" w:hAnsi="宋体" w:eastAsia="宋体" w:cs="宋体"/>
          <w:b/>
          <w:bCs/>
          <w:color w:val="auto"/>
          <w:sz w:val="44"/>
          <w:szCs w:val="44"/>
        </w:rPr>
        <w:t>绩效评价报告</w:t>
      </w:r>
    </w:p>
    <w:p>
      <w:pPr>
        <w:rPr>
          <w:rFonts w:hint="eastAsia" w:ascii="宋体" w:hAnsi="宋体" w:eastAsia="宋体" w:cs="宋体"/>
          <w:color w:val="auto"/>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（一）项目单位基本情况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儋州市人民法院是国家审判机关，依法行使审判权，在儋州市委统一领导下，对儋州市人民代表大会和儋州市人民代表大会常务委员会负责并报告工作。</w:t>
      </w:r>
    </w:p>
    <w:p>
      <w:pPr>
        <w:ind w:firstLine="560" w:firstLineChars="200"/>
        <w:rPr>
          <w:rFonts w:hint="eastAsia" w:ascii="宋体" w:hAnsi="宋体" w:eastAsia="宋体"/>
          <w:color w:val="auto"/>
          <w:sz w:val="28"/>
          <w:lang w:eastAsia="zh-CN"/>
        </w:rPr>
      </w:pPr>
      <w:r>
        <w:rPr>
          <w:rFonts w:hint="eastAsia" w:ascii="宋体" w:hAnsi="宋体" w:eastAsia="宋体"/>
          <w:sz w:val="28"/>
          <w:szCs w:val="32"/>
          <w:lang w:eastAsia="zh-CN"/>
        </w:rPr>
        <w:t>儋州市人民法院</w:t>
      </w:r>
      <w:r>
        <w:rPr>
          <w:rFonts w:hint="eastAsia" w:ascii="宋体" w:hAnsi="宋体" w:eastAsia="宋体"/>
          <w:sz w:val="28"/>
          <w:szCs w:val="32"/>
        </w:rPr>
        <w:t>核定公务员编制1</w:t>
      </w:r>
      <w:r>
        <w:rPr>
          <w:rFonts w:hint="eastAsia" w:ascii="宋体" w:hAnsi="宋体" w:eastAsia="宋体"/>
          <w:sz w:val="28"/>
          <w:szCs w:val="32"/>
          <w:lang w:val="en-US" w:eastAsia="zh-CN"/>
        </w:rPr>
        <w:t>31</w:t>
      </w:r>
      <w:r>
        <w:rPr>
          <w:rFonts w:hint="eastAsia" w:ascii="宋体" w:hAnsi="宋体" w:eastAsia="宋体"/>
          <w:sz w:val="28"/>
          <w:szCs w:val="32"/>
        </w:rPr>
        <w:t>人，工勤编制</w:t>
      </w:r>
      <w:r>
        <w:rPr>
          <w:rFonts w:hint="eastAsia" w:ascii="宋体" w:hAnsi="宋体"/>
          <w:sz w:val="28"/>
          <w:szCs w:val="32"/>
          <w:lang w:eastAsia="zh-CN"/>
        </w:rPr>
        <w:t>实有人数</w:t>
      </w:r>
      <w:r>
        <w:rPr>
          <w:rFonts w:hint="eastAsia" w:ascii="宋体" w:hAnsi="宋体"/>
          <w:sz w:val="28"/>
          <w:szCs w:val="32"/>
          <w:lang w:val="en-US" w:eastAsia="zh-CN"/>
        </w:rPr>
        <w:t>8</w:t>
      </w:r>
      <w:r>
        <w:rPr>
          <w:rFonts w:hint="eastAsia" w:ascii="宋体" w:hAnsi="宋体" w:eastAsia="宋体"/>
          <w:sz w:val="28"/>
          <w:szCs w:val="32"/>
        </w:rPr>
        <w:t>人</w:t>
      </w:r>
      <w:r>
        <w:rPr>
          <w:rFonts w:hint="eastAsia" w:ascii="宋体" w:hAnsi="宋体" w:eastAsia="宋体"/>
          <w:sz w:val="28"/>
          <w:szCs w:val="32"/>
          <w:lang w:eastAsia="zh-CN"/>
        </w:rPr>
        <w:t>，</w:t>
      </w:r>
      <w:r>
        <w:rPr>
          <w:rFonts w:hint="eastAsia" w:ascii="宋体" w:hAnsi="宋体" w:eastAsia="宋体"/>
          <w:sz w:val="28"/>
          <w:szCs w:val="32"/>
        </w:rPr>
        <w:t>内设1</w:t>
      </w:r>
      <w:r>
        <w:rPr>
          <w:rFonts w:hint="eastAsia" w:ascii="宋体" w:hAnsi="宋体" w:eastAsia="宋体"/>
          <w:sz w:val="28"/>
          <w:szCs w:val="32"/>
          <w:lang w:val="en-US" w:eastAsia="zh-CN"/>
        </w:rPr>
        <w:t>7</w:t>
      </w:r>
      <w:r>
        <w:rPr>
          <w:rFonts w:hint="eastAsia" w:ascii="宋体" w:hAnsi="宋体" w:eastAsia="宋体"/>
          <w:sz w:val="28"/>
          <w:szCs w:val="32"/>
        </w:rPr>
        <w:t>个职能部门。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（二）项目基本性质、用途和主要内容、涉及范围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此预算项目是经财政</w:t>
      </w:r>
      <w:r>
        <w:rPr>
          <w:rFonts w:hint="eastAsia" w:ascii="宋体" w:hAnsi="宋体" w:eastAsia="宋体" w:cs="宋体"/>
          <w:color w:val="auto"/>
          <w:sz w:val="28"/>
          <w:szCs w:val="28"/>
          <w:highlight w:val="none"/>
          <w:lang w:eastAsia="zh-CN"/>
        </w:rPr>
        <w:t>预算批复，用于保障法院司法审判事业顺利而进行的各项资金支出及应用。主</w:t>
      </w:r>
      <w:r>
        <w:rPr>
          <w:rFonts w:hint="eastAsia" w:ascii="宋体" w:hAnsi="宋体" w:eastAsia="宋体" w:cs="宋体"/>
          <w:color w:val="auto"/>
          <w:sz w:val="28"/>
          <w:szCs w:val="28"/>
          <w:lang w:eastAsia="zh-CN"/>
        </w:rPr>
        <w:t>要内容有</w:t>
      </w:r>
      <w:r>
        <w:rPr>
          <w:rFonts w:hint="eastAsia" w:ascii="宋体" w:hAnsi="宋体" w:cs="宋体"/>
          <w:color w:val="auto"/>
          <w:sz w:val="28"/>
          <w:szCs w:val="28"/>
          <w:lang w:eastAsia="zh-CN"/>
        </w:rPr>
        <w:t>印刷费、邮电费、公车运维费、差旅费</w:t>
      </w:r>
      <w:r>
        <w:rPr>
          <w:rFonts w:hint="eastAsia" w:ascii="宋体" w:hAnsi="宋体" w:eastAsia="宋体" w:cs="宋体"/>
          <w:color w:val="auto"/>
          <w:sz w:val="28"/>
          <w:szCs w:val="28"/>
          <w:lang w:eastAsia="zh-CN"/>
        </w:rPr>
        <w:t>等多个方面。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（三）跨年度项目的预期总目标及阶段性目标</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本项目不是跨年度项目。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二、项目资金使用及管理情况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（一）项目资金到位情况分析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此项目资金为财政全额拨款，已全部到位。</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（二）项目资金使用情况分析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资金整体使用状况良好，</w:t>
      </w:r>
      <w:r>
        <w:rPr>
          <w:rFonts w:hint="eastAsia" w:ascii="宋体" w:hAnsi="宋体" w:cs="宋体"/>
          <w:color w:val="auto"/>
          <w:sz w:val="28"/>
          <w:szCs w:val="28"/>
          <w:lang w:eastAsia="zh-CN"/>
        </w:rPr>
        <w:t>一是为审判工作提供良好的出行保障，二是为审判工作提供便捷渠道，</w:t>
      </w:r>
      <w:r>
        <w:rPr>
          <w:rFonts w:hint="eastAsia" w:ascii="宋体" w:hAnsi="宋体" w:eastAsia="宋体" w:cs="宋体"/>
          <w:color w:val="auto"/>
          <w:sz w:val="28"/>
          <w:szCs w:val="28"/>
          <w:lang w:eastAsia="zh-CN"/>
        </w:rPr>
        <w:t>使案件审判的</w:t>
      </w:r>
      <w:r>
        <w:rPr>
          <w:rFonts w:hint="eastAsia" w:ascii="宋体" w:hAnsi="宋体" w:cs="宋体"/>
          <w:color w:val="auto"/>
          <w:sz w:val="28"/>
          <w:szCs w:val="28"/>
          <w:lang w:eastAsia="zh-CN"/>
        </w:rPr>
        <w:t>送达</w:t>
      </w:r>
      <w:r>
        <w:rPr>
          <w:rFonts w:hint="eastAsia" w:ascii="宋体" w:hAnsi="宋体" w:eastAsia="宋体" w:cs="宋体"/>
          <w:color w:val="auto"/>
          <w:sz w:val="28"/>
          <w:szCs w:val="28"/>
          <w:lang w:eastAsia="zh-CN"/>
        </w:rPr>
        <w:t>工作</w:t>
      </w:r>
      <w:r>
        <w:rPr>
          <w:rFonts w:hint="eastAsia" w:ascii="宋体" w:hAnsi="宋体" w:cs="宋体"/>
          <w:color w:val="auto"/>
          <w:sz w:val="28"/>
          <w:szCs w:val="28"/>
          <w:lang w:eastAsia="zh-CN"/>
        </w:rPr>
        <w:t>效率</w:t>
      </w:r>
      <w:r>
        <w:rPr>
          <w:rFonts w:hint="eastAsia" w:ascii="宋体" w:hAnsi="宋体" w:eastAsia="宋体" w:cs="宋体"/>
          <w:color w:val="auto"/>
          <w:sz w:val="28"/>
          <w:szCs w:val="28"/>
          <w:lang w:eastAsia="zh-CN"/>
        </w:rPr>
        <w:t>得到极大提高</w:t>
      </w:r>
      <w:r>
        <w:rPr>
          <w:rFonts w:hint="eastAsia" w:ascii="宋体" w:hAnsi="宋体" w:cs="宋体"/>
          <w:color w:val="auto"/>
          <w:sz w:val="28"/>
          <w:szCs w:val="28"/>
          <w:lang w:eastAsia="zh-CN"/>
        </w:rPr>
        <w:t>，三是保障司法宣传经费，加大司法宣传力度，彰显司法权威性</w:t>
      </w:r>
      <w:r>
        <w:rPr>
          <w:rFonts w:hint="eastAsia" w:ascii="宋体" w:hAnsi="宋体" w:eastAsia="宋体" w:cs="宋体"/>
          <w:color w:val="auto"/>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项目资金管理情况分析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为了实现对资金的合理使用，单位成立了预算项目管理小组，制订了《项目资金管理办法》，在管理使用过程中严格执行。指定专门财务人员负责日常检查监督管理工作，对资金使用进行过程控制，发现问题及时汇报，合理解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三、项目组织实施情况</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项目组织情况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此项目非工程项目，无招投标及现场验收等情况。</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无。</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项目绩效情况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（一）项目绩效目标完成情况分析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1.项目的经济型分析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）项目成本控制情况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实施严格按照预算执行，在预算年度及时完成，完成质量良好。对项目内分项目实行规范化管理，逐个分析各项成本情况，结合财政法规，充分发挥财务人员专业知识及主观能动，在整体控制上达到预期效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）项目成本节约情况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在中央及省委厉行节约精神的要求下，本着高效节约的原则，控制项目实施过程，按照财务制度相关要求，对每一项支出严格把关，避免不必要的浪费，有效节约了项目成本，提高了资金使用效率。</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项目的效率性分析</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项目的实施进度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此项目按照预算批复指标逐项实施完成，支出进度与预算年度一致。</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项目的完成质量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各项支出完成质量良好，效益显著，得到干警</w:t>
      </w:r>
      <w:r>
        <w:rPr>
          <w:rFonts w:hint="eastAsia" w:ascii="宋体" w:hAnsi="宋体" w:cs="宋体"/>
          <w:color w:val="auto"/>
          <w:sz w:val="28"/>
          <w:szCs w:val="28"/>
          <w:lang w:val="en-US" w:eastAsia="zh-CN"/>
        </w:rPr>
        <w:t>的</w:t>
      </w:r>
      <w:r>
        <w:rPr>
          <w:rFonts w:hint="eastAsia" w:ascii="宋体" w:hAnsi="宋体" w:eastAsia="宋体" w:cs="宋体"/>
          <w:color w:val="auto"/>
          <w:sz w:val="28"/>
          <w:szCs w:val="28"/>
          <w:lang w:val="en-US" w:eastAsia="zh-CN"/>
        </w:rPr>
        <w:t xml:space="preserve">一致好评。  </w:t>
      </w:r>
    </w:p>
    <w:p>
      <w:pPr>
        <w:keepNext w:val="0"/>
        <w:keepLines w:val="0"/>
        <w:pageBreakBefore w:val="0"/>
        <w:widowControl/>
        <w:numPr>
          <w:ilvl w:val="0"/>
          <w:numId w:val="6"/>
        </w:numPr>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项目的效益性分析</w:t>
      </w:r>
    </w:p>
    <w:p>
      <w:pPr>
        <w:keepNext w:val="0"/>
        <w:keepLines w:val="0"/>
        <w:pageBreakBefore w:val="0"/>
        <w:widowControl/>
        <w:numPr>
          <w:ilvl w:val="0"/>
          <w:numId w:val="7"/>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项目预算目标完成程度</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预算年度内本项目各项预算目标顺利完成，有力保障了单位审判执行等各项工作顺利开展。</w:t>
      </w:r>
    </w:p>
    <w:p>
      <w:pPr>
        <w:keepNext w:val="0"/>
        <w:keepLines w:val="0"/>
        <w:pageBreakBefore w:val="0"/>
        <w:widowControl/>
        <w:numPr>
          <w:ilvl w:val="0"/>
          <w:numId w:val="7"/>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项目实施对经济和社会的影响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b w:val="0"/>
          <w:bCs w:val="0"/>
          <w:color w:val="auto"/>
          <w:sz w:val="28"/>
          <w:szCs w:val="28"/>
          <w:lang w:eastAsia="zh-CN"/>
        </w:rPr>
        <w:t>各类审判工作成效明显，有效地维护了</w:t>
      </w:r>
      <w:r>
        <w:rPr>
          <w:rFonts w:hint="eastAsia" w:ascii="宋体" w:hAnsi="宋体" w:cs="宋体"/>
          <w:b w:val="0"/>
          <w:bCs w:val="0"/>
          <w:color w:val="auto"/>
          <w:sz w:val="28"/>
          <w:szCs w:val="28"/>
          <w:lang w:eastAsia="zh-CN"/>
        </w:rPr>
        <w:t>儋州</w:t>
      </w:r>
      <w:r>
        <w:rPr>
          <w:rFonts w:hint="eastAsia" w:ascii="宋体" w:hAnsi="宋体" w:eastAsia="宋体" w:cs="宋体"/>
          <w:b w:val="0"/>
          <w:bCs w:val="0"/>
          <w:color w:val="auto"/>
          <w:sz w:val="28"/>
          <w:szCs w:val="28"/>
          <w:lang w:eastAsia="zh-CN"/>
        </w:rPr>
        <w:t>地区社会稳定，经济发展和人民安居乐业。</w:t>
      </w:r>
      <w:r>
        <w:rPr>
          <w:rFonts w:hint="eastAsia" w:ascii="宋体" w:hAnsi="宋体" w:eastAsia="宋体" w:cs="宋体"/>
          <w:color w:val="auto"/>
          <w:sz w:val="28"/>
          <w:szCs w:val="28"/>
          <w:lang w:eastAsia="zh-CN"/>
        </w:rPr>
        <w:t>为地区经济社会发展提供了持续有力的司法保障与支持。</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4.项目的可持续性分析</w:t>
      </w:r>
    </w:p>
    <w:p>
      <w:pPr>
        <w:keepNext w:val="0"/>
        <w:keepLines w:val="0"/>
        <w:pageBreakBefore w:val="0"/>
        <w:widowControl/>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通过历年以来对审判业务专项资金的使用管理，制度建设有力、人员配备齐整，整体上已经形成了一套比较成熟的管理模式。随着审判业务的开展及各项财政政策的完善，此预算项目将更加有效促进各项审判业务的持续发展。</w:t>
      </w:r>
    </w:p>
    <w:p>
      <w:pPr>
        <w:keepNext w:val="0"/>
        <w:keepLines w:val="0"/>
        <w:pageBreakBefore w:val="0"/>
        <w:widowControl/>
        <w:numPr>
          <w:ilvl w:val="0"/>
          <w:numId w:val="8"/>
        </w:numPr>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项目预算批复的绩效指标完成情况分析</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20</w:t>
      </w:r>
      <w:r>
        <w:rPr>
          <w:rFonts w:hint="eastAsia" w:ascii="宋体" w:hAnsi="宋体" w:cs="宋体"/>
          <w:color w:val="auto"/>
          <w:sz w:val="28"/>
          <w:szCs w:val="28"/>
          <w:highlight w:val="none"/>
          <w:lang w:val="en-US" w:eastAsia="zh-CN"/>
        </w:rPr>
        <w:t>17</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政法转移支付资金</w:t>
      </w:r>
      <w:r>
        <w:rPr>
          <w:rFonts w:hint="eastAsia" w:ascii="宋体" w:hAnsi="宋体" w:eastAsia="宋体" w:cs="宋体"/>
          <w:color w:val="auto"/>
          <w:sz w:val="28"/>
          <w:szCs w:val="28"/>
          <w:highlight w:val="none"/>
          <w:lang w:val="en-US" w:eastAsia="zh-CN"/>
        </w:rPr>
        <w:t>预算批复绩效指标完成情况：</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lang w:val="en-US" w:eastAsia="zh-CN"/>
        </w:rPr>
        <w:t>）成效指标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sym w:font="Wingdings" w:char="F081"/>
      </w:r>
      <w:r>
        <w:rPr>
          <w:rFonts w:hint="eastAsia" w:ascii="宋体" w:hAnsi="宋体" w:cs="宋体"/>
          <w:b w:val="0"/>
          <w:bCs w:val="0"/>
          <w:color w:val="auto"/>
          <w:sz w:val="28"/>
          <w:szCs w:val="28"/>
          <w:highlight w:val="none"/>
          <w:lang w:val="en-US" w:eastAsia="zh-CN"/>
        </w:rPr>
        <w:t>当事人收到法律文书时间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政法转移支付保障送达人员差旅费、邮寄送达费，儋州境内的案件当事人在隔天收到裁判文书</w:t>
      </w: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文书生成一天后送达</w:t>
      </w:r>
      <w:r>
        <w:rPr>
          <w:rFonts w:hint="eastAsia" w:ascii="宋体" w:hAnsi="宋体" w:eastAsia="宋体" w:cs="宋体"/>
          <w:b w:val="0"/>
          <w:bCs w:val="0"/>
          <w:color w:val="auto"/>
          <w:sz w:val="28"/>
          <w:szCs w:val="28"/>
          <w:highlight w:val="none"/>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sym w:font="Wingdings" w:char="F082"/>
      </w:r>
      <w:r>
        <w:rPr>
          <w:rFonts w:hint="eastAsia" w:ascii="宋体" w:hAnsi="宋体" w:cs="宋体"/>
          <w:b w:val="0"/>
          <w:bCs w:val="0"/>
          <w:color w:val="auto"/>
          <w:sz w:val="28"/>
          <w:szCs w:val="28"/>
          <w:highlight w:val="none"/>
          <w:lang w:val="en-US" w:eastAsia="zh-CN"/>
        </w:rPr>
        <w:t>公车出行故障率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单位公车出行无故障（故障率为0%）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sym w:font="Wingdings" w:char="F083"/>
      </w:r>
      <w:r>
        <w:rPr>
          <w:rFonts w:hint="eastAsia" w:ascii="宋体" w:hAnsi="宋体" w:cs="宋体"/>
          <w:b w:val="0"/>
          <w:bCs w:val="0"/>
          <w:color w:val="auto"/>
          <w:sz w:val="28"/>
          <w:szCs w:val="28"/>
          <w:highlight w:val="none"/>
          <w:lang w:val="en-US" w:eastAsia="zh-CN"/>
        </w:rPr>
        <w:t>印刷成本</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审判材料印刷无错误（错误率为0%）</w:t>
      </w:r>
    </w:p>
    <w:p>
      <w:pPr>
        <w:keepNext w:val="0"/>
        <w:keepLines w:val="0"/>
        <w:pageBreakBefore w:val="0"/>
        <w:widowControl/>
        <w:numPr>
          <w:ilvl w:val="0"/>
          <w:numId w:val="9"/>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项目绩效目标未完成原因分析</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绩效目标全部完成。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综合评价</w:t>
      </w:r>
      <w:r>
        <w:rPr>
          <w:rFonts w:hint="eastAsia" w:ascii="宋体" w:hAnsi="宋体" w:eastAsia="宋体" w:cs="宋体"/>
          <w:color w:val="auto"/>
          <w:sz w:val="28"/>
          <w:szCs w:val="28"/>
          <w:lang w:eastAsia="zh-CN"/>
        </w:rPr>
        <w:t>及评价结论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审判业务是法院工作的绝对重心，是其他各项工作开展的基础，而审判业务专项资金为其提供了</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eastAsia="zh-CN"/>
        </w:rPr>
        <w:t>专门的资金支持，使审判业务良好开展成为可能。通过管理使用此项目资金，达到了保障审判、节约效能的目的。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六、主要经验做法及问题建议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在项目实施过程中，我单位高度重视，分管副院长负责，行装处财务室负责具体项目实施，各岗位人员各司其职，最终圆满完成年度预算计划，有力保障了单位全年审判工作，在</w:t>
      </w:r>
      <w:r>
        <w:rPr>
          <w:rFonts w:hint="eastAsia" w:ascii="宋体" w:hAnsi="宋体" w:cs="宋体"/>
          <w:color w:val="auto"/>
          <w:sz w:val="28"/>
          <w:szCs w:val="28"/>
          <w:lang w:eastAsia="zh-CN"/>
        </w:rPr>
        <w:t>儋州</w:t>
      </w:r>
      <w:r>
        <w:rPr>
          <w:rFonts w:hint="eastAsia" w:ascii="宋体" w:hAnsi="宋体" w:eastAsia="宋体" w:cs="宋体"/>
          <w:color w:val="auto"/>
          <w:sz w:val="28"/>
          <w:szCs w:val="28"/>
          <w:lang w:eastAsia="zh-CN"/>
        </w:rPr>
        <w:t>地区产生了良好的司法效果，化解大量社会矛盾，彰显了公平正义。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我单位将继续秉承上年度预算项目管理有益经验，改进工作中的不足，使预算资金使用更加科学合理，节约效能，通过预算项目合理支出为单位乃至整个</w:t>
      </w:r>
      <w:r>
        <w:rPr>
          <w:rFonts w:hint="eastAsia" w:ascii="宋体" w:hAnsi="宋体" w:cs="宋体"/>
          <w:color w:val="auto"/>
          <w:sz w:val="28"/>
          <w:szCs w:val="28"/>
          <w:lang w:eastAsia="zh-CN"/>
        </w:rPr>
        <w:t>儋州</w:t>
      </w:r>
      <w:r>
        <w:rPr>
          <w:rFonts w:hint="eastAsia" w:ascii="宋体" w:hAnsi="宋体" w:eastAsia="宋体" w:cs="宋体"/>
          <w:color w:val="auto"/>
          <w:sz w:val="28"/>
          <w:szCs w:val="28"/>
          <w:lang w:eastAsia="zh-CN"/>
        </w:rPr>
        <w:t>地区司法事业增添助力。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right"/>
        <w:textAlignment w:val="auto"/>
        <w:outlineLvl w:val="9"/>
        <w:rPr>
          <w:rFonts w:hint="eastAsia" w:ascii="宋体" w:hAnsi="宋体" w:eastAsia="宋体" w:cs="宋体"/>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righ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绩效评价工作小组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righ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201</w:t>
      </w: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25</w:t>
      </w:r>
      <w:r>
        <w:rPr>
          <w:rFonts w:hint="eastAsia" w:ascii="宋体" w:hAnsi="宋体" w:eastAsia="宋体" w:cs="宋体"/>
          <w:color w:val="auto"/>
          <w:sz w:val="28"/>
          <w:szCs w:val="28"/>
          <w:lang w:val="en-US" w:eastAsia="zh-CN"/>
        </w:rPr>
        <w:t>日</w:t>
      </w:r>
    </w:p>
    <w:p>
      <w:pPr/>
    </w:p>
    <w:p>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
    <w:nsid w:val="0000000E"/>
    <w:multiLevelType w:val="singleLevel"/>
    <w:tmpl w:val="0000000E"/>
    <w:lvl w:ilvl="0" w:tentative="1">
      <w:start w:val="1"/>
      <w:numFmt w:val="chineseCounting"/>
      <w:suff w:val="nothing"/>
      <w:lvlText w:val="（%1）"/>
      <w:lvlJc w:val="left"/>
    </w:lvl>
  </w:abstractNum>
  <w:abstractNum w:abstractNumId="7">
    <w:nsid w:val="00000007"/>
    <w:multiLevelType w:val="singleLevel"/>
    <w:tmpl w:val="00000007"/>
    <w:lvl w:ilvl="0" w:tentative="1">
      <w:start w:val="3"/>
      <w:numFmt w:val="chineseCounting"/>
      <w:suff w:val="nothing"/>
      <w:lvlText w:val="（%1）"/>
      <w:lvlJc w:val="left"/>
    </w:lvl>
  </w:abstractNum>
  <w:abstractNum w:abstractNumId="9">
    <w:nsid w:val="00000009"/>
    <w:multiLevelType w:val="singleLevel"/>
    <w:tmpl w:val="00000009"/>
    <w:lvl w:ilvl="0" w:tentative="1">
      <w:start w:val="1"/>
      <w:numFmt w:val="chineseCounting"/>
      <w:suff w:val="nothing"/>
      <w:lvlText w:val="%1、"/>
      <w:lvlJc w:val="left"/>
    </w:lvl>
  </w:abstractNum>
  <w:abstractNum w:abstractNumId="10">
    <w:nsid w:val="0000000A"/>
    <w:multiLevelType w:val="singleLevel"/>
    <w:tmpl w:val="0000000A"/>
    <w:lvl w:ilvl="0" w:tentative="1">
      <w:start w:val="2"/>
      <w:numFmt w:val="decimal"/>
      <w:suff w:val="nothing"/>
      <w:lvlText w:val="%1."/>
      <w:lvlJc w:val="left"/>
    </w:lvl>
  </w:abstractNum>
  <w:abstractNum w:abstractNumId="11">
    <w:nsid w:val="0000000B"/>
    <w:multiLevelType w:val="singleLevel"/>
    <w:tmpl w:val="0000000B"/>
    <w:lvl w:ilvl="0" w:tentative="1">
      <w:start w:val="1"/>
      <w:numFmt w:val="decimal"/>
      <w:suff w:val="nothing"/>
      <w:lvlText w:val="（%1）"/>
      <w:lvlJc w:val="left"/>
    </w:lvl>
  </w:abstractNum>
  <w:abstractNum w:abstractNumId="12">
    <w:nsid w:val="0000000C"/>
    <w:multiLevelType w:val="singleLevel"/>
    <w:tmpl w:val="0000000C"/>
    <w:lvl w:ilvl="0" w:tentative="1">
      <w:start w:val="3"/>
      <w:numFmt w:val="decimal"/>
      <w:suff w:val="nothing"/>
      <w:lvlText w:val="%1."/>
      <w:lvlJc w:val="left"/>
    </w:lvl>
  </w:abstractNum>
  <w:abstractNum w:abstractNumId="6">
    <w:nsid w:val="00000006"/>
    <w:multiLevelType w:val="singleLevel"/>
    <w:tmpl w:val="00000006"/>
    <w:lvl w:ilvl="0" w:tentative="1">
      <w:start w:val="1"/>
      <w:numFmt w:val="decimal"/>
      <w:suff w:val="nothing"/>
      <w:lvlText w:val="（%1）"/>
      <w:lvlJc w:val="left"/>
    </w:lvl>
  </w:abstractNum>
  <w:abstractNum w:abstractNumId="8">
    <w:nsid w:val="00000008"/>
    <w:multiLevelType w:val="singleLevel"/>
    <w:tmpl w:val="00000008"/>
    <w:lvl w:ilvl="0" w:tentative="1">
      <w:start w:val="5"/>
      <w:numFmt w:val="decimal"/>
      <w:suff w:val="nothing"/>
      <w:lvlText w:val="%1."/>
      <w:lvlJc w:val="left"/>
    </w:lvl>
  </w:abstractNum>
  <w:abstractNum w:abstractNumId="13">
    <w:nsid w:val="0000000D"/>
    <w:multiLevelType w:val="singleLevel"/>
    <w:tmpl w:val="0000000D"/>
    <w:lvl w:ilvl="0" w:tentative="1">
      <w:start w:val="2"/>
      <w:numFmt w:val="chineseCounting"/>
      <w:suff w:val="nothing"/>
      <w:lvlText w:val="（%1）"/>
      <w:lvlJc w:val="left"/>
    </w:lvl>
  </w:abstractNum>
  <w:num w:numId="1">
    <w:abstractNumId w:val="9"/>
  </w:num>
  <w:num w:numId="2">
    <w:abstractNumId w:val="7"/>
  </w:num>
  <w:num w:numId="3">
    <w:abstractNumId w:val="14"/>
  </w:num>
  <w:num w:numId="4">
    <w:abstractNumId w:val="10"/>
  </w:num>
  <w:num w:numId="5">
    <w:abstractNumId w:val="11"/>
  </w:num>
  <w:num w:numId="6">
    <w:abstractNumId w:val="12"/>
  </w:num>
  <w:num w:numId="7">
    <w:abstractNumId w:val="6"/>
  </w:num>
  <w:num w:numId="8">
    <w:abstractNumId w:val="8"/>
  </w:num>
  <w:num w:numId="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BF5C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2018-07-30T01:47:31Z</dcterms:modified>
  <dc:title>财政支出项目政法转移支付绩效评价报告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