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仿宋" w:hAnsi="仿宋" w:eastAsia="仿宋"/>
          <w:b/>
          <w:bCs/>
          <w:color w:val="auto"/>
          <w:sz w:val="44"/>
        </w:rPr>
      </w:pPr>
      <w:r>
        <w:rPr>
          <w:rFonts w:hint="eastAsia" w:ascii="仿宋" w:hAnsi="仿宋" w:eastAsia="仿宋"/>
          <w:b/>
          <w:bCs/>
          <w:color w:val="auto"/>
          <w:sz w:val="44"/>
        </w:rPr>
        <w:t>财政支出</w:t>
      </w:r>
      <w:r>
        <w:rPr>
          <w:rFonts w:hint="eastAsia" w:ascii="仿宋" w:hAnsi="仿宋" w:eastAsia="仿宋"/>
          <w:b/>
          <w:bCs/>
          <w:color w:val="auto"/>
          <w:sz w:val="44"/>
          <w:highlight w:val="none"/>
          <w:lang w:eastAsia="zh-CN"/>
        </w:rPr>
        <w:t>案件审判</w:t>
      </w:r>
      <w:r>
        <w:rPr>
          <w:rFonts w:hint="eastAsia" w:ascii="仿宋" w:hAnsi="仿宋" w:eastAsia="仿宋"/>
          <w:b/>
          <w:bCs/>
          <w:color w:val="auto"/>
          <w:sz w:val="44"/>
          <w:highlight w:val="none"/>
        </w:rPr>
        <w:t>项目</w:t>
      </w:r>
      <w:r>
        <w:rPr>
          <w:rFonts w:hint="eastAsia" w:ascii="仿宋" w:hAnsi="仿宋" w:eastAsia="仿宋"/>
          <w:b/>
          <w:bCs/>
          <w:color w:val="auto"/>
          <w:sz w:val="44"/>
        </w:rPr>
        <w:t>绩效</w:t>
      </w:r>
      <w:r>
        <w:rPr>
          <w:rFonts w:hint="eastAsia" w:ascii="仿宋" w:hAnsi="仿宋" w:eastAsia="仿宋"/>
          <w:b/>
          <w:bCs/>
          <w:color w:val="auto"/>
          <w:sz w:val="44"/>
          <w:lang w:eastAsia="zh-CN"/>
        </w:rPr>
        <w:t>自评</w:t>
      </w:r>
      <w:r>
        <w:rPr>
          <w:rFonts w:hint="eastAsia" w:ascii="仿宋" w:hAnsi="仿宋" w:eastAsia="仿宋"/>
          <w:b/>
          <w:bCs/>
          <w:color w:val="auto"/>
          <w:sz w:val="44"/>
        </w:rPr>
        <w:t>报告</w:t>
      </w:r>
    </w:p>
    <w:p>
      <w:pPr>
        <w:rPr>
          <w:rFonts w:hint="eastAsia" w:ascii="仿宋" w:hAnsi="仿宋" w:eastAsia="仿宋"/>
          <w:color w:val="auto"/>
          <w:sz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rPr>
      </w:pPr>
      <w:r>
        <w:rPr>
          <w:rFonts w:hint="eastAsia" w:ascii="宋体" w:hAnsi="宋体" w:eastAsia="宋体"/>
          <w:color w:val="auto"/>
          <w:sz w:val="28"/>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（一）项目单位基本情况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儋州市人民法院是国家审判机关，依法行使审判权，在儋州市委统一领导下，对儋州市人民代表大会和儋州市人民代表大会常务委员会负责并报告工作。</w:t>
      </w:r>
    </w:p>
    <w:p>
      <w:pPr>
        <w:ind w:firstLine="560" w:firstLineChars="200"/>
        <w:rPr>
          <w:rFonts w:hint="eastAsia" w:ascii="宋体" w:hAnsi="宋体" w:eastAsia="宋体"/>
          <w:color w:val="auto"/>
          <w:sz w:val="28"/>
          <w:lang w:eastAsia="zh-CN"/>
        </w:rPr>
      </w:pPr>
      <w:r>
        <w:rPr>
          <w:rFonts w:hint="eastAsia" w:ascii="宋体" w:hAnsi="宋体" w:eastAsia="宋体"/>
          <w:sz w:val="28"/>
          <w:szCs w:val="32"/>
          <w:lang w:eastAsia="zh-CN"/>
        </w:rPr>
        <w:t>儋州市人民法院</w:t>
      </w:r>
      <w:r>
        <w:rPr>
          <w:rFonts w:hint="eastAsia" w:ascii="宋体" w:hAnsi="宋体" w:eastAsia="宋体"/>
          <w:sz w:val="28"/>
          <w:szCs w:val="32"/>
        </w:rPr>
        <w:t>核定公务员编制1</w:t>
      </w:r>
      <w:r>
        <w:rPr>
          <w:rFonts w:hint="eastAsia" w:ascii="宋体" w:hAnsi="宋体" w:eastAsia="宋体"/>
          <w:sz w:val="28"/>
          <w:szCs w:val="32"/>
          <w:lang w:val="en-US" w:eastAsia="zh-CN"/>
        </w:rPr>
        <w:t>31</w:t>
      </w:r>
      <w:r>
        <w:rPr>
          <w:rFonts w:hint="eastAsia" w:ascii="宋体" w:hAnsi="宋体" w:eastAsia="宋体"/>
          <w:sz w:val="28"/>
          <w:szCs w:val="32"/>
        </w:rPr>
        <w:t>人，工勤编制</w:t>
      </w:r>
      <w:r>
        <w:rPr>
          <w:rFonts w:hint="eastAsia" w:ascii="宋体" w:hAnsi="宋体"/>
          <w:sz w:val="28"/>
          <w:szCs w:val="32"/>
          <w:lang w:eastAsia="zh-CN"/>
        </w:rPr>
        <w:t>实有人数</w:t>
      </w:r>
      <w:r>
        <w:rPr>
          <w:rFonts w:hint="eastAsia" w:ascii="宋体" w:hAnsi="宋体"/>
          <w:sz w:val="28"/>
          <w:szCs w:val="32"/>
          <w:lang w:val="en-US" w:eastAsia="zh-CN"/>
        </w:rPr>
        <w:t>8</w:t>
      </w:r>
      <w:r>
        <w:rPr>
          <w:rFonts w:hint="eastAsia" w:ascii="宋体" w:hAnsi="宋体" w:eastAsia="宋体"/>
          <w:sz w:val="28"/>
          <w:szCs w:val="32"/>
        </w:rPr>
        <w:t>人</w:t>
      </w:r>
      <w:r>
        <w:rPr>
          <w:rFonts w:hint="eastAsia" w:ascii="宋体" w:hAnsi="宋体" w:eastAsia="宋体"/>
          <w:sz w:val="28"/>
          <w:szCs w:val="32"/>
          <w:lang w:eastAsia="zh-CN"/>
        </w:rPr>
        <w:t>，</w:t>
      </w:r>
      <w:r>
        <w:rPr>
          <w:rFonts w:hint="eastAsia" w:ascii="宋体" w:hAnsi="宋体" w:eastAsia="宋体"/>
          <w:sz w:val="28"/>
          <w:szCs w:val="32"/>
        </w:rPr>
        <w:t>内设1</w:t>
      </w:r>
      <w:r>
        <w:rPr>
          <w:rFonts w:hint="eastAsia" w:ascii="宋体" w:hAnsi="宋体" w:eastAsia="宋体"/>
          <w:sz w:val="28"/>
          <w:szCs w:val="32"/>
          <w:lang w:val="en-US" w:eastAsia="zh-CN"/>
        </w:rPr>
        <w:t>7</w:t>
      </w:r>
      <w:r>
        <w:rPr>
          <w:rFonts w:hint="eastAsia" w:ascii="宋体" w:hAnsi="宋体" w:eastAsia="宋体"/>
          <w:sz w:val="28"/>
          <w:szCs w:val="32"/>
        </w:rPr>
        <w:t>个职能部门。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（二）项目基本性质、用途和主要内容、涉及范围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此预算项目是经财政</w:t>
      </w:r>
      <w:r>
        <w:rPr>
          <w:rFonts w:hint="eastAsia" w:ascii="宋体" w:hAnsi="宋体" w:eastAsia="宋体"/>
          <w:color w:val="auto"/>
          <w:sz w:val="28"/>
          <w:highlight w:val="none"/>
          <w:lang w:eastAsia="zh-CN"/>
        </w:rPr>
        <w:t>预算批复，用于保障法院司法审判事业顺利而进行的各项资金支出及应用。主</w:t>
      </w:r>
      <w:r>
        <w:rPr>
          <w:rFonts w:hint="eastAsia" w:ascii="宋体" w:hAnsi="宋体" w:eastAsia="宋体"/>
          <w:color w:val="auto"/>
          <w:sz w:val="28"/>
          <w:lang w:eastAsia="zh-CN"/>
        </w:rPr>
        <w:t>要内容</w:t>
      </w:r>
      <w:r>
        <w:rPr>
          <w:rFonts w:hint="eastAsia" w:ascii="宋体" w:hAnsi="宋体"/>
          <w:color w:val="auto"/>
          <w:sz w:val="28"/>
          <w:lang w:eastAsia="zh-CN"/>
        </w:rPr>
        <w:t>为</w:t>
      </w:r>
      <w:r>
        <w:rPr>
          <w:rFonts w:hint="eastAsia" w:ascii="宋体" w:hAnsi="宋体" w:eastAsia="宋体"/>
          <w:color w:val="auto"/>
          <w:sz w:val="28"/>
          <w:lang w:eastAsia="zh-CN"/>
        </w:rPr>
        <w:t>辅助办案人员</w:t>
      </w:r>
      <w:r>
        <w:rPr>
          <w:rFonts w:hint="eastAsia" w:ascii="宋体" w:hAnsi="宋体"/>
          <w:color w:val="auto"/>
          <w:sz w:val="28"/>
          <w:lang w:eastAsia="zh-CN"/>
        </w:rPr>
        <w:t>工资及社保</w:t>
      </w:r>
      <w:r>
        <w:rPr>
          <w:rFonts w:hint="eastAsia" w:ascii="宋体" w:hAnsi="宋体" w:eastAsia="宋体"/>
          <w:color w:val="auto"/>
          <w:sz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（三）跨年度项目的预期总目标及阶段性目标</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sz w:val="28"/>
          <w:lang w:eastAsia="zh-CN"/>
        </w:rPr>
      </w:pPr>
      <w:r>
        <w:rPr>
          <w:rFonts w:hint="eastAsia" w:ascii="宋体" w:hAnsi="宋体" w:eastAsia="宋体"/>
          <w:sz w:val="28"/>
          <w:lang w:eastAsia="zh-CN"/>
        </w:rPr>
        <w:t>本项目不是跨年度项目。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rPr>
      </w:pPr>
      <w:r>
        <w:rPr>
          <w:rFonts w:hint="eastAsia" w:ascii="宋体" w:hAnsi="宋体" w:eastAsia="宋体"/>
          <w:color w:val="auto"/>
          <w:sz w:val="28"/>
        </w:rPr>
        <w:t>二、项目资金使用及管理情况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（一）项目资金到位情况分析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此项目资金为财政全额拨款，已全部到位。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（二）项目资金使用情况分析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资金整体使用状况良好，对比上一预算年度，在案件量不断增长、人员紧缺的情况下很好的发挥了预算资金的保障作用，使案件审判的工作效益得到极大提高。</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项目资金管理情况分析</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eastAsia="zh-CN"/>
        </w:rPr>
        <w:t>为了实现对资金的合理使用，单位成立了预算项目管理小组，制订了《项目资金管理办法》，在管理使用过程中严格执行。指定专门财务人员负责日常检查监督管理工作，对资金使用进行过程控制，发现问题及时汇报，合理解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三、项目组织实施情况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项目组织情况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此项目非工程项目，无招投标及现场验收等情况。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40" w:lineRule="auto"/>
        <w:ind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四、</w:t>
      </w:r>
      <w:r>
        <w:rPr>
          <w:rFonts w:hint="eastAsia" w:ascii="宋体" w:hAnsi="宋体" w:eastAsia="宋体"/>
          <w:color w:val="auto"/>
          <w:sz w:val="28"/>
        </w:rPr>
        <w:t>项目绩效情况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（一）项目绩效目标完成情况分析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1.项目的经济型分析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w:t>
      </w:r>
      <w:r>
        <w:rPr>
          <w:rFonts w:hint="eastAsia" w:ascii="宋体" w:hAnsi="宋体" w:eastAsia="宋体"/>
          <w:color w:val="auto"/>
          <w:sz w:val="28"/>
          <w:lang w:val="en-US" w:eastAsia="zh-CN"/>
        </w:rPr>
        <w:t>1</w:t>
      </w:r>
      <w:r>
        <w:rPr>
          <w:rFonts w:hint="eastAsia" w:ascii="宋体" w:hAnsi="宋体" w:eastAsia="宋体"/>
          <w:color w:val="auto"/>
          <w:sz w:val="28"/>
          <w:lang w:eastAsia="zh-CN"/>
        </w:rPr>
        <w:t>）项目成本控制情况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项目实施严格按照预算执行，在预算年度及时完成，完成质量良好。对项目内分项目实行规范化管理，逐个分析各项成本情况，结合财政法规，充分发挥财务人员专业知识及主观能动，在整体控制上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w:t>
      </w:r>
      <w:r>
        <w:rPr>
          <w:rFonts w:hint="eastAsia" w:ascii="宋体" w:hAnsi="宋体" w:eastAsia="宋体"/>
          <w:color w:val="auto"/>
          <w:sz w:val="28"/>
          <w:lang w:val="en-US" w:eastAsia="zh-CN"/>
        </w:rPr>
        <w:t>2</w:t>
      </w:r>
      <w:r>
        <w:rPr>
          <w:rFonts w:hint="eastAsia" w:ascii="宋体" w:hAnsi="宋体" w:eastAsia="宋体"/>
          <w:color w:val="auto"/>
          <w:sz w:val="28"/>
          <w:lang w:eastAsia="zh-CN"/>
        </w:rPr>
        <w:t>）项目成本节约情况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eastAsia="zh-CN"/>
        </w:rPr>
        <w:t>在中央及省委厉行节约精神的要求下，本着高效节约的原则，控制项目实施过程，按照财务制度相关要求，对每一项支出严格把关，避免不必要的浪费，有效节约了项目成本，提高了资金使用效率。</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项目的效率性分析</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项目的实施进度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此项目按照预算批复指标逐项实施完成，支出进度与预算年度一致。</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项目的完成质量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各项支出完成质量良好，效益显著，得到干警及当事人的一致好评。  </w:t>
      </w:r>
    </w:p>
    <w:p>
      <w:pPr>
        <w:keepNext w:val="0"/>
        <w:keepLines w:val="0"/>
        <w:pageBreakBefore w:val="0"/>
        <w:widowControl/>
        <w:numPr>
          <w:ilvl w:val="0"/>
          <w:numId w:val="6"/>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项目的效益性分析</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项目预算目标完成程度</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预算年度内本项目各项预算目标顺利完成，有力保障了单位审判执行等各项工作顺利开展。</w:t>
      </w:r>
    </w:p>
    <w:p>
      <w:pPr>
        <w:keepNext w:val="0"/>
        <w:keepLines w:val="0"/>
        <w:pageBreakBefore w:val="0"/>
        <w:widowControl/>
        <w:numPr>
          <w:ilvl w:val="0"/>
          <w:numId w:val="7"/>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项目实施对经济和社会的影响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宋体" w:hAnsi="宋体" w:eastAsia="宋体"/>
          <w:color w:val="auto"/>
          <w:sz w:val="28"/>
          <w:lang w:eastAsia="zh-CN"/>
        </w:rPr>
      </w:pPr>
      <w:r>
        <w:rPr>
          <w:rFonts w:hint="eastAsia" w:ascii="宋体" w:hAnsi="宋体" w:eastAsia="宋体"/>
          <w:color w:val="auto"/>
          <w:sz w:val="28"/>
          <w:lang w:val="en-US" w:eastAsia="zh-CN"/>
        </w:rPr>
        <w:t xml:space="preserve">    </w:t>
      </w:r>
      <w:r>
        <w:rPr>
          <w:rFonts w:hint="eastAsia" w:ascii="宋体" w:hAnsi="宋体" w:eastAsia="宋体"/>
          <w:color w:val="auto"/>
          <w:sz w:val="28"/>
          <w:lang w:eastAsia="zh-CN"/>
        </w:rPr>
        <w:t>各类审判工作成效明显，有效地维护了</w:t>
      </w:r>
      <w:r>
        <w:rPr>
          <w:rFonts w:hint="eastAsia" w:ascii="宋体" w:hAnsi="宋体"/>
          <w:color w:val="auto"/>
          <w:sz w:val="28"/>
          <w:lang w:eastAsia="zh-CN"/>
        </w:rPr>
        <w:t>儋州</w:t>
      </w:r>
      <w:r>
        <w:rPr>
          <w:rFonts w:hint="eastAsia" w:ascii="宋体" w:hAnsi="宋体" w:eastAsia="宋体"/>
          <w:color w:val="auto"/>
          <w:sz w:val="28"/>
          <w:lang w:eastAsia="zh-CN"/>
        </w:rPr>
        <w:t>地区社会稳定，经济发展和人民安居乐业。为地区经济社会发展提供了持续有力的司法保障与支持。</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 xml:space="preserve">    4.项目的可持续性分析</w:t>
      </w:r>
    </w:p>
    <w:p>
      <w:pPr>
        <w:keepNext w:val="0"/>
        <w:keepLines w:val="0"/>
        <w:pageBreakBefore w:val="0"/>
        <w:widowControl/>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olor w:val="auto"/>
          <w:sz w:val="28"/>
          <w:lang w:eastAsia="zh-CN"/>
        </w:rPr>
      </w:pPr>
      <w:r>
        <w:rPr>
          <w:rFonts w:hint="eastAsia" w:ascii="宋体" w:hAnsi="宋体" w:eastAsia="宋体"/>
          <w:color w:val="auto"/>
          <w:sz w:val="28"/>
          <w:lang w:eastAsia="zh-CN"/>
        </w:rPr>
        <w:t>通过历年以来对审判业务专项资金的使用管理，制度建设有力、人员配备齐整，整体上已经形成了一套比较成熟的管理模式。随着审判业务的开展及各项财政政策的完善，此预算项目将更加有效促进各项审判业务的持续发展。</w:t>
      </w:r>
    </w:p>
    <w:p>
      <w:pPr>
        <w:keepNext w:val="0"/>
        <w:keepLines w:val="0"/>
        <w:pageBreakBefore w:val="0"/>
        <w:widowControl/>
        <w:numPr>
          <w:ilvl w:val="0"/>
          <w:numId w:val="8"/>
        </w:numPr>
        <w:shd w:val="clear" w:color="auto" w:fill="FFFFFF"/>
        <w:kinsoku/>
        <w:wordWrap/>
        <w:overflowPunct/>
        <w:topLinePunct w:val="0"/>
        <w:autoSpaceDE/>
        <w:autoSpaceDN/>
        <w:bidi w:val="0"/>
        <w:snapToGrid w:val="0"/>
        <w:spacing w:before="0" w:beforeLines="0" w:after="0" w:afterLines="0" w:line="540" w:lineRule="exact"/>
        <w:ind w:left="0" w:leftChars="0" w:right="0" w:rightChars="0" w:firstLine="560" w:firstLineChars="200"/>
        <w:textAlignment w:val="auto"/>
        <w:rPr>
          <w:rFonts w:hint="eastAsia" w:ascii="宋体" w:hAnsi="宋体" w:eastAsia="宋体"/>
          <w:color w:val="auto"/>
          <w:sz w:val="28"/>
          <w:lang w:val="en-US" w:eastAsia="zh-CN"/>
        </w:rPr>
      </w:pPr>
      <w:r>
        <w:rPr>
          <w:rFonts w:hint="eastAsia" w:ascii="宋体" w:hAnsi="宋体" w:eastAsia="宋体"/>
          <w:color w:val="auto"/>
          <w:sz w:val="28"/>
          <w:lang w:val="en-US" w:eastAsia="zh-CN"/>
        </w:rPr>
        <w:t>项目预算批复的绩效指标完成情况分析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201</w:t>
      </w:r>
      <w:r>
        <w:rPr>
          <w:rFonts w:hint="eastAsia" w:ascii="宋体" w:hAnsi="宋体"/>
          <w:color w:val="auto"/>
          <w:sz w:val="28"/>
          <w:highlight w:val="none"/>
          <w:lang w:val="en-US" w:eastAsia="zh-CN"/>
        </w:rPr>
        <w:t>8</w:t>
      </w:r>
      <w:r>
        <w:rPr>
          <w:rFonts w:hint="eastAsia" w:ascii="宋体" w:hAnsi="宋体" w:eastAsia="宋体"/>
          <w:color w:val="auto"/>
          <w:sz w:val="28"/>
          <w:highlight w:val="none"/>
          <w:lang w:val="en-US" w:eastAsia="zh-CN"/>
        </w:rPr>
        <w:t>年案件审判预算批复绩效指标完成情况：</w:t>
      </w:r>
    </w:p>
    <w:p>
      <w:pPr>
        <w:keepNext w:val="0"/>
        <w:keepLines w:val="0"/>
        <w:pageBreakBefore w:val="0"/>
        <w:widowControl/>
        <w:numPr>
          <w:ilvl w:val="0"/>
          <w:numId w:val="9"/>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产出指标</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color w:val="auto"/>
          <w:sz w:val="28"/>
          <w:highlight w:val="none"/>
          <w:lang w:val="en-US" w:eastAsia="zh-CN"/>
        </w:rPr>
        <w:sym w:font="Wingdings" w:char="F081"/>
      </w:r>
      <w:r>
        <w:rPr>
          <w:rFonts w:hint="eastAsia" w:ascii="宋体" w:hAnsi="宋体" w:eastAsia="宋体"/>
          <w:color w:val="auto"/>
          <w:sz w:val="28"/>
          <w:highlight w:val="none"/>
          <w:lang w:val="en-US" w:eastAsia="zh-CN"/>
        </w:rPr>
        <w:t>年办理案件数量</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我院全年办理案件</w:t>
      </w:r>
      <w:r>
        <w:rPr>
          <w:rFonts w:hint="eastAsia" w:ascii="宋体" w:hAnsi="宋体"/>
          <w:b w:val="0"/>
          <w:bCs w:val="0"/>
          <w:color w:val="auto"/>
          <w:sz w:val="28"/>
          <w:highlight w:val="none"/>
          <w:lang w:val="en-US" w:eastAsia="zh-CN"/>
        </w:rPr>
        <w:t>17509</w:t>
      </w:r>
      <w:r>
        <w:rPr>
          <w:rFonts w:hint="eastAsia" w:ascii="宋体" w:hAnsi="宋体" w:eastAsia="宋体"/>
          <w:b w:val="0"/>
          <w:bCs w:val="0"/>
          <w:color w:val="auto"/>
          <w:sz w:val="28"/>
          <w:highlight w:val="none"/>
          <w:lang w:val="en-US" w:eastAsia="zh-CN"/>
        </w:rPr>
        <w:t>件，绩效标准优（4500件以上）；</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（2）成效指标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cs="Wingdings"/>
          <w:b w:val="0"/>
          <w:bCs w:val="0"/>
          <w:color w:val="auto"/>
          <w:sz w:val="28"/>
          <w:szCs w:val="24"/>
          <w:highlight w:val="none"/>
          <w:lang w:val="en-US" w:eastAsia="zh-CN"/>
        </w:rPr>
        <w:t xml:space="preserve"> </w:t>
      </w:r>
      <w:r>
        <w:rPr>
          <w:rFonts w:hint="eastAsia" w:ascii="宋体" w:hAnsi="宋体" w:eastAsia="宋体"/>
          <w:color w:val="auto"/>
          <w:sz w:val="28"/>
          <w:highlight w:val="none"/>
          <w:lang w:val="en-US" w:eastAsia="zh-CN"/>
        </w:rPr>
        <w:sym w:font="Wingdings" w:char="F081"/>
      </w:r>
      <w:r>
        <w:rPr>
          <w:rFonts w:hint="eastAsia" w:ascii="宋体" w:hAnsi="宋体" w:eastAsia="宋体"/>
          <w:color w:val="auto"/>
          <w:sz w:val="28"/>
          <w:highlight w:val="none"/>
          <w:lang w:val="en-US" w:eastAsia="zh-CN"/>
        </w:rPr>
        <w:t>案件调解率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案件调解率</w:t>
      </w:r>
      <w:r>
        <w:rPr>
          <w:rFonts w:hint="eastAsia" w:ascii="宋体" w:hAnsi="宋体"/>
          <w:b w:val="0"/>
          <w:bCs w:val="0"/>
          <w:color w:val="auto"/>
          <w:sz w:val="28"/>
          <w:highlight w:val="none"/>
          <w:lang w:val="en-US" w:eastAsia="zh-CN"/>
        </w:rPr>
        <w:t>60.01</w:t>
      </w:r>
      <w:r>
        <w:rPr>
          <w:rFonts w:hint="eastAsia" w:ascii="宋体" w:hAnsi="宋体" w:eastAsia="宋体"/>
          <w:b w:val="0"/>
          <w:bCs w:val="0"/>
          <w:color w:val="auto"/>
          <w:sz w:val="28"/>
          <w:highlight w:val="none"/>
          <w:lang w:val="en-US" w:eastAsia="zh-CN"/>
        </w:rPr>
        <w:t>%，绩效标准优（30%以上）；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i w:val="0"/>
          <w:color w:val="auto"/>
          <w:kern w:val="0"/>
          <w:sz w:val="28"/>
          <w:szCs w:val="22"/>
          <w:u w:val="none"/>
          <w:lang w:val="en-US" w:eastAsia="zh-CN" w:bidi="ar"/>
        </w:rPr>
      </w:pPr>
      <w:r>
        <w:rPr>
          <w:rFonts w:hint="eastAsia" w:ascii="宋体" w:hAnsi="宋体" w:eastAsia="宋体"/>
          <w:b w:val="0"/>
          <w:bCs w:val="0"/>
          <w:color w:val="auto"/>
          <w:sz w:val="28"/>
          <w:highlight w:val="none"/>
          <w:lang w:val="en-US" w:eastAsia="zh-CN"/>
        </w:rPr>
        <w:sym w:font="Wingdings" w:char="F082"/>
      </w:r>
      <w:r>
        <w:rPr>
          <w:rFonts w:hint="eastAsia" w:ascii="宋体" w:hAnsi="宋体" w:eastAsia="宋体"/>
          <w:b w:val="0"/>
          <w:bCs w:val="0"/>
          <w:color w:val="auto"/>
          <w:sz w:val="28"/>
          <w:highlight w:val="none"/>
          <w:lang w:val="en-US" w:eastAsia="zh-CN"/>
        </w:rPr>
        <w:t>当事人满意度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当事人满意度9</w:t>
      </w:r>
      <w:r>
        <w:rPr>
          <w:rFonts w:hint="eastAsia" w:ascii="宋体" w:hAnsi="宋体"/>
          <w:b w:val="0"/>
          <w:bCs w:val="0"/>
          <w:color w:val="auto"/>
          <w:sz w:val="28"/>
          <w:highlight w:val="none"/>
          <w:lang w:val="en-US" w:eastAsia="zh-CN"/>
        </w:rPr>
        <w:t>8</w:t>
      </w:r>
      <w:r>
        <w:rPr>
          <w:rFonts w:hint="eastAsia" w:ascii="宋体" w:hAnsi="宋体" w:eastAsia="宋体"/>
          <w:b w:val="0"/>
          <w:bCs w:val="0"/>
          <w:color w:val="auto"/>
          <w:sz w:val="28"/>
          <w:highlight w:val="none"/>
          <w:lang w:val="en-US" w:eastAsia="zh-CN"/>
        </w:rPr>
        <w:t>%，绩效标准优（85%以上）；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sym w:font="Wingdings" w:char="F083"/>
      </w:r>
      <w:r>
        <w:rPr>
          <w:rFonts w:hint="eastAsia" w:ascii="宋体" w:hAnsi="宋体" w:eastAsia="宋体"/>
          <w:b w:val="0"/>
          <w:bCs w:val="0"/>
          <w:color w:val="auto"/>
          <w:sz w:val="28"/>
          <w:highlight w:val="none"/>
          <w:lang w:val="en-US" w:eastAsia="zh-CN"/>
        </w:rPr>
        <w:t>结案率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结案率94.6</w:t>
      </w:r>
      <w:r>
        <w:rPr>
          <w:rFonts w:hint="eastAsia" w:ascii="宋体" w:hAnsi="宋体"/>
          <w:b w:val="0"/>
          <w:bCs w:val="0"/>
          <w:color w:val="auto"/>
          <w:sz w:val="28"/>
          <w:highlight w:val="none"/>
          <w:lang w:val="en-US" w:eastAsia="zh-CN"/>
        </w:rPr>
        <w:t>5</w:t>
      </w:r>
      <w:r>
        <w:rPr>
          <w:rFonts w:hint="eastAsia" w:ascii="宋体" w:hAnsi="宋体" w:eastAsia="宋体"/>
          <w:b w:val="0"/>
          <w:bCs w:val="0"/>
          <w:color w:val="auto"/>
          <w:sz w:val="28"/>
          <w:highlight w:val="none"/>
          <w:lang w:val="en-US" w:eastAsia="zh-CN"/>
        </w:rPr>
        <w:t>%，绩效标准优（90%或以上）；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cs="Wingdings"/>
          <w:b w:val="0"/>
          <w:bCs w:val="0"/>
          <w:color w:val="auto"/>
          <w:sz w:val="28"/>
          <w:szCs w:val="24"/>
          <w:highlight w:val="none"/>
          <w:lang w:val="en-US" w:eastAsia="zh-CN"/>
        </w:rPr>
        <w:t xml:space="preserve"> ④</w:t>
      </w:r>
      <w:r>
        <w:rPr>
          <w:rFonts w:hint="eastAsia" w:ascii="宋体" w:hAnsi="宋体" w:eastAsia="宋体"/>
          <w:b w:val="0"/>
          <w:bCs w:val="0"/>
          <w:color w:val="auto"/>
          <w:sz w:val="28"/>
          <w:highlight w:val="none"/>
          <w:lang w:val="en-US" w:eastAsia="zh-CN"/>
        </w:rPr>
        <w:t xml:space="preserve">平衡结案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第一季度</w:t>
      </w:r>
      <w:r>
        <w:rPr>
          <w:rFonts w:hint="eastAsia" w:ascii="宋体" w:hAnsi="宋体"/>
          <w:b w:val="0"/>
          <w:bCs w:val="0"/>
          <w:color w:val="auto"/>
          <w:sz w:val="28"/>
          <w:highlight w:val="none"/>
          <w:lang w:val="en-US" w:eastAsia="zh-CN"/>
        </w:rPr>
        <w:t>62.55%</w:t>
      </w:r>
      <w:r>
        <w:rPr>
          <w:rFonts w:hint="eastAsia" w:ascii="宋体" w:hAnsi="宋体" w:eastAsia="宋体"/>
          <w:b w:val="0"/>
          <w:bCs w:val="0"/>
          <w:color w:val="auto"/>
          <w:sz w:val="28"/>
          <w:highlight w:val="none"/>
          <w:lang w:val="en-US" w:eastAsia="zh-CN"/>
        </w:rPr>
        <w:t>以上，第二季度</w:t>
      </w:r>
      <w:r>
        <w:rPr>
          <w:rFonts w:hint="eastAsia" w:ascii="宋体" w:hAnsi="宋体"/>
          <w:b w:val="0"/>
          <w:bCs w:val="0"/>
          <w:color w:val="auto"/>
          <w:sz w:val="28"/>
          <w:highlight w:val="none"/>
          <w:lang w:val="en-US" w:eastAsia="zh-CN"/>
        </w:rPr>
        <w:t>74.4</w:t>
      </w:r>
      <w:r>
        <w:rPr>
          <w:rFonts w:hint="eastAsia" w:ascii="宋体" w:hAnsi="宋体" w:eastAsia="宋体"/>
          <w:b w:val="0"/>
          <w:bCs w:val="0"/>
          <w:color w:val="auto"/>
          <w:sz w:val="28"/>
          <w:highlight w:val="none"/>
          <w:lang w:val="en-US" w:eastAsia="zh-CN"/>
        </w:rPr>
        <w:t>%以上，第三季度</w:t>
      </w:r>
      <w:r>
        <w:rPr>
          <w:rFonts w:hint="eastAsia" w:ascii="宋体" w:hAnsi="宋体"/>
          <w:b w:val="0"/>
          <w:bCs w:val="0"/>
          <w:color w:val="auto"/>
          <w:sz w:val="28"/>
          <w:highlight w:val="none"/>
          <w:lang w:val="en-US" w:eastAsia="zh-CN"/>
        </w:rPr>
        <w:t>80.02</w:t>
      </w:r>
      <w:r>
        <w:rPr>
          <w:rFonts w:hint="eastAsia" w:ascii="宋体" w:hAnsi="宋体" w:eastAsia="宋体"/>
          <w:b w:val="0"/>
          <w:bCs w:val="0"/>
          <w:color w:val="auto"/>
          <w:sz w:val="28"/>
          <w:highlight w:val="none"/>
          <w:lang w:val="en-US" w:eastAsia="zh-CN"/>
        </w:rPr>
        <w:t>%以上，第四季度</w:t>
      </w:r>
      <w:r>
        <w:rPr>
          <w:rFonts w:hint="eastAsia" w:ascii="宋体" w:hAnsi="宋体"/>
          <w:b w:val="0"/>
          <w:bCs w:val="0"/>
          <w:color w:val="auto"/>
          <w:sz w:val="28"/>
          <w:highlight w:val="none"/>
          <w:lang w:val="en-US" w:eastAsia="zh-CN"/>
        </w:rPr>
        <w:t>94.65</w:t>
      </w:r>
      <w:r>
        <w:rPr>
          <w:rFonts w:hint="eastAsia" w:ascii="宋体" w:hAnsi="宋体" w:eastAsia="宋体"/>
          <w:b w:val="0"/>
          <w:bCs w:val="0"/>
          <w:color w:val="auto"/>
          <w:sz w:val="28"/>
          <w:highlight w:val="none"/>
          <w:lang w:val="en-US" w:eastAsia="zh-CN"/>
        </w:rPr>
        <w:t>%以上，绩效标准</w:t>
      </w:r>
      <w:r>
        <w:rPr>
          <w:rFonts w:hint="eastAsia" w:ascii="宋体" w:hAnsi="宋体"/>
          <w:b w:val="0"/>
          <w:bCs w:val="0"/>
          <w:color w:val="auto"/>
          <w:sz w:val="28"/>
          <w:highlight w:val="none"/>
          <w:lang w:val="en-US" w:eastAsia="zh-CN"/>
        </w:rPr>
        <w:t>良</w:t>
      </w:r>
      <w:r>
        <w:rPr>
          <w:rFonts w:hint="eastAsia" w:ascii="宋体" w:hAnsi="宋体" w:eastAsia="宋体"/>
          <w:b w:val="0"/>
          <w:bCs w:val="0"/>
          <w:color w:val="auto"/>
          <w:sz w:val="28"/>
          <w:highlight w:val="none"/>
          <w:lang w:val="en-US" w:eastAsia="zh-CN"/>
        </w:rPr>
        <w:t>（第一季度40%以上，第二季度60%以上，第三季度80%以上，第四季度</w:t>
      </w:r>
      <w:r>
        <w:rPr>
          <w:rFonts w:hint="eastAsia" w:ascii="宋体" w:hAnsi="宋体"/>
          <w:b w:val="0"/>
          <w:bCs w:val="0"/>
          <w:color w:val="auto"/>
          <w:sz w:val="28"/>
          <w:highlight w:val="none"/>
          <w:lang w:val="en-US" w:eastAsia="zh-CN"/>
        </w:rPr>
        <w:t>8</w:t>
      </w:r>
      <w:r>
        <w:rPr>
          <w:rFonts w:hint="eastAsia" w:ascii="宋体" w:hAnsi="宋体" w:eastAsia="宋体"/>
          <w:b w:val="0"/>
          <w:bCs w:val="0"/>
          <w:color w:val="auto"/>
          <w:sz w:val="28"/>
          <w:highlight w:val="none"/>
          <w:lang w:val="en-US" w:eastAsia="zh-CN"/>
        </w:rPr>
        <w:t>5%以上）；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b w:val="0"/>
          <w:bCs w:val="0"/>
          <w:color w:val="auto"/>
          <w:sz w:val="28"/>
          <w:highlight w:val="none"/>
          <w:lang w:val="en-US" w:eastAsia="zh-CN"/>
        </w:rPr>
      </w:pPr>
      <w:r>
        <w:rPr>
          <w:rFonts w:hint="eastAsia" w:ascii="宋体" w:hAnsi="宋体" w:eastAsia="宋体" w:cs="仿宋"/>
          <w:b w:val="0"/>
          <w:bCs w:val="0"/>
          <w:color w:val="auto"/>
          <w:sz w:val="28"/>
          <w:szCs w:val="16"/>
          <w:highlight w:val="none"/>
          <w:lang w:val="en-US" w:eastAsia="zh-CN"/>
        </w:rPr>
        <w:t xml:space="preserve"> </w:t>
      </w:r>
      <w:r>
        <w:rPr>
          <w:rFonts w:hint="eastAsia" w:ascii="宋体" w:hAnsi="宋体" w:eastAsia="宋体" w:cs="Wingdings"/>
          <w:b w:val="0"/>
          <w:bCs w:val="0"/>
          <w:color w:val="auto"/>
          <w:sz w:val="28"/>
          <w:szCs w:val="24"/>
          <w:highlight w:val="none"/>
          <w:lang w:val="en-US" w:eastAsia="zh-CN"/>
        </w:rPr>
        <w:t>⑤</w:t>
      </w:r>
      <w:r>
        <w:rPr>
          <w:rFonts w:hint="eastAsia" w:ascii="宋体" w:hAnsi="宋体" w:eastAsia="宋体"/>
          <w:b w:val="0"/>
          <w:bCs w:val="0"/>
          <w:color w:val="auto"/>
          <w:sz w:val="28"/>
          <w:highlight w:val="none"/>
          <w:lang w:val="en-US" w:eastAsia="zh-CN"/>
        </w:rPr>
        <w:t>审限结案时间</w:t>
      </w:r>
    </w:p>
    <w:p>
      <w:pPr>
        <w:keepNext w:val="0"/>
        <w:keepLines w:val="0"/>
        <w:pageBreakBefore w:val="0"/>
        <w:widowControl/>
        <w:numPr>
          <w:ilvl w:val="0"/>
          <w:numId w:val="0"/>
        </w:numPr>
        <w:shd w:val="clear" w:color="auto" w:fill="FFFFFF"/>
        <w:tabs>
          <w:tab w:val="left" w:pos="840"/>
          <w:tab w:val="left" w:pos="1050"/>
        </w:tabs>
        <w:kinsoku/>
        <w:wordWrap/>
        <w:overflowPunct/>
        <w:topLinePunct w:val="0"/>
        <w:autoSpaceDE/>
        <w:autoSpaceDN/>
        <w:bidi w:val="0"/>
        <w:snapToGrid w:val="0"/>
        <w:spacing w:before="0" w:beforeLines="0" w:after="0" w:afterLines="0" w:line="540" w:lineRule="exact"/>
        <w:ind w:right="0" w:rightChars="0" w:firstLine="560" w:firstLineChars="200"/>
        <w:textAlignment w:val="auto"/>
        <w:rPr>
          <w:rFonts w:hint="eastAsia" w:ascii="宋体" w:hAnsi="宋体" w:eastAsia="宋体"/>
          <w:b w:val="0"/>
          <w:bCs w:val="0"/>
          <w:color w:val="auto"/>
          <w:sz w:val="28"/>
          <w:highlight w:val="none"/>
          <w:lang w:val="en-US" w:eastAsia="zh-CN"/>
        </w:rPr>
      </w:pPr>
      <w:r>
        <w:rPr>
          <w:rFonts w:hint="eastAsia" w:ascii="宋体" w:hAnsi="宋体" w:eastAsia="宋体"/>
          <w:b w:val="0"/>
          <w:bCs w:val="0"/>
          <w:color w:val="auto"/>
          <w:sz w:val="28"/>
          <w:highlight w:val="none"/>
          <w:lang w:val="en-US" w:eastAsia="zh-CN"/>
        </w:rPr>
        <w:t>提前审限时间20.54%以上，绩效标准优（提前审限时间10%以上）；</w:t>
      </w:r>
    </w:p>
    <w:p>
      <w:pPr>
        <w:keepNext w:val="0"/>
        <w:keepLines w:val="0"/>
        <w:pageBreakBefore w:val="0"/>
        <w:widowControl/>
        <w:numPr>
          <w:ilvl w:val="0"/>
          <w:numId w:val="10"/>
        </w:numPr>
        <w:shd w:val="clear" w:color="auto" w:fill="FFFFFF"/>
        <w:kinsoku/>
        <w:wordWrap/>
        <w:overflowPunct/>
        <w:topLinePunct w:val="0"/>
        <w:autoSpaceDE/>
        <w:autoSpaceDN/>
        <w:bidi w:val="0"/>
        <w:snapToGrid w:val="0"/>
        <w:spacing w:before="0" w:beforeLines="0" w:after="0" w:afterLines="0" w:line="540" w:lineRule="exact"/>
        <w:ind w:leftChars="200" w:right="0" w:rightChars="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项目绩效目标未完成原因分析</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0" w:beforeLines="0" w:after="0" w:afterLines="0" w:line="540" w:lineRule="exact"/>
        <w:ind w:right="0" w:rightChars="0"/>
        <w:textAlignment w:val="auto"/>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 xml:space="preserve">    绩效目标全部完成。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both"/>
        <w:textAlignment w:val="auto"/>
        <w:outlineLvl w:val="9"/>
        <w:rPr>
          <w:rFonts w:hint="eastAsia" w:ascii="宋体" w:hAnsi="宋体" w:eastAsia="宋体"/>
          <w:color w:val="auto"/>
          <w:sz w:val="28"/>
          <w:highlight w:val="none"/>
        </w:rPr>
      </w:pPr>
      <w:r>
        <w:rPr>
          <w:rFonts w:hint="eastAsia" w:ascii="宋体" w:hAnsi="宋体" w:eastAsia="宋体"/>
          <w:color w:val="auto"/>
          <w:sz w:val="28"/>
          <w:highlight w:val="none"/>
          <w:lang w:val="en-US" w:eastAsia="zh-CN"/>
        </w:rPr>
        <w:t xml:space="preserve"> </w:t>
      </w:r>
      <w:r>
        <w:rPr>
          <w:rFonts w:hint="eastAsia" w:ascii="宋体" w:hAnsi="宋体" w:eastAsia="宋体"/>
          <w:color w:val="auto"/>
          <w:sz w:val="28"/>
          <w:highlight w:val="none"/>
          <w:lang w:eastAsia="zh-CN"/>
        </w:rPr>
        <w:t>五、</w:t>
      </w:r>
      <w:r>
        <w:rPr>
          <w:rFonts w:hint="eastAsia" w:ascii="宋体" w:hAnsi="宋体" w:eastAsia="宋体"/>
          <w:color w:val="auto"/>
          <w:sz w:val="28"/>
          <w:highlight w:val="none"/>
        </w:rPr>
        <w:t>综合评价</w:t>
      </w:r>
      <w:r>
        <w:rPr>
          <w:rFonts w:hint="eastAsia" w:ascii="宋体" w:hAnsi="宋体" w:eastAsia="宋体"/>
          <w:color w:val="auto"/>
          <w:sz w:val="28"/>
          <w:highlight w:val="none"/>
          <w:lang w:eastAsia="zh-CN"/>
        </w:rPr>
        <w:t>及评价结论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审判业务是法院工作的绝对重心，是其他各项工作开展的基础，而审判业务专项资金为其提供了专门的资金支持，使审判业务良好开展成为可能。通过管理使用此项目资金，达到了保障审判、节约效能的目的。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六、主要经验做法及问题建议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在项目实施过程中，我单位高度重视，分管副院长负责，行装处负责具体项目实施，各岗位人员各司其职，最终圆满完成年度预算计划，有力保障了单位全年审判工作，在儋州产生了良好的司法效果，化解大量社会矛盾，彰显了公平正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r>
        <w:rPr>
          <w:rFonts w:hint="eastAsia" w:ascii="宋体" w:hAnsi="宋体" w:eastAsia="宋体"/>
          <w:color w:val="auto"/>
          <w:sz w:val="28"/>
          <w:highlight w:val="none"/>
          <w:lang w:eastAsia="zh-CN"/>
        </w:rPr>
        <w:t>我单位将继续秉承上年度预算项目管理有益经验，改进工作中的不足，使预算资金使用更加科学合理，节约效能，通过预算项目合理支出为儋州地区司法事业增添助力。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olor w:val="auto"/>
          <w:sz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 xml:space="preserve">                            绩效评价工作小组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right"/>
        <w:textAlignment w:val="auto"/>
        <w:outlineLvl w:val="9"/>
        <w:rPr>
          <w:rFonts w:hint="eastAsia" w:ascii="宋体" w:hAnsi="宋体" w:eastAsia="宋体"/>
          <w:color w:val="auto"/>
          <w:sz w:val="28"/>
          <w:highlight w:val="none"/>
          <w:lang w:val="en-US" w:eastAsia="zh-CN"/>
        </w:rPr>
      </w:pPr>
      <w:r>
        <w:rPr>
          <w:rFonts w:hint="eastAsia" w:ascii="宋体" w:hAnsi="宋体" w:eastAsia="宋体"/>
          <w:color w:val="auto"/>
          <w:sz w:val="28"/>
          <w:highlight w:val="none"/>
          <w:lang w:val="en-US" w:eastAsia="zh-CN"/>
        </w:rPr>
        <w:t xml:space="preserve">                            201</w:t>
      </w:r>
      <w:r>
        <w:rPr>
          <w:rFonts w:hint="eastAsia" w:ascii="宋体" w:hAnsi="宋体"/>
          <w:color w:val="auto"/>
          <w:sz w:val="28"/>
          <w:highlight w:val="none"/>
          <w:lang w:val="en-US" w:eastAsia="zh-CN"/>
        </w:rPr>
        <w:t>9</w:t>
      </w:r>
      <w:r>
        <w:rPr>
          <w:rFonts w:hint="eastAsia" w:ascii="宋体" w:hAnsi="宋体" w:eastAsia="宋体"/>
          <w:color w:val="auto"/>
          <w:sz w:val="28"/>
          <w:highlight w:val="none"/>
          <w:lang w:val="en-US" w:eastAsia="zh-CN"/>
        </w:rPr>
        <w:t>年</w:t>
      </w:r>
      <w:r>
        <w:rPr>
          <w:rFonts w:hint="eastAsia" w:ascii="宋体" w:hAnsi="宋体"/>
          <w:color w:val="auto"/>
          <w:sz w:val="28"/>
          <w:highlight w:val="none"/>
          <w:lang w:val="en-US" w:eastAsia="zh-CN"/>
        </w:rPr>
        <w:t>7</w:t>
      </w:r>
      <w:r>
        <w:rPr>
          <w:rFonts w:hint="eastAsia" w:ascii="宋体" w:hAnsi="宋体" w:eastAsia="宋体"/>
          <w:color w:val="auto"/>
          <w:sz w:val="28"/>
          <w:highlight w:val="none"/>
          <w:lang w:val="en-US" w:eastAsia="zh-CN"/>
        </w:rPr>
        <w:t>月</w:t>
      </w:r>
      <w:r>
        <w:rPr>
          <w:rFonts w:hint="eastAsia" w:ascii="宋体" w:hAnsi="宋体"/>
          <w:color w:val="auto"/>
          <w:sz w:val="28"/>
          <w:highlight w:val="none"/>
          <w:lang w:val="en-US" w:eastAsia="zh-CN"/>
        </w:rPr>
        <w:t>22</w:t>
      </w:r>
      <w:r>
        <w:rPr>
          <w:rFonts w:hint="eastAsia" w:ascii="宋体" w:hAnsi="宋体" w:eastAsia="宋体"/>
          <w:color w:val="auto"/>
          <w:sz w:val="28"/>
          <w:highlight w:val="none"/>
          <w:lang w:val="en-US" w:eastAsia="zh-CN"/>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
    <w:altName w:val="宋体"/>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3"/>
      <w:numFmt w:val="decimal"/>
      <w:suff w:val="nothing"/>
      <w:lvlText w:val="%1."/>
      <w:lvlJc w:val="left"/>
    </w:lvl>
  </w:abstractNum>
  <w:abstractNum w:abstractNumId="1">
    <w:nsid w:val="00000008"/>
    <w:multiLevelType w:val="singleLevel"/>
    <w:tmpl w:val="00000008"/>
    <w:lvl w:ilvl="0" w:tentative="0">
      <w:start w:val="3"/>
      <w:numFmt w:val="chineseCounting"/>
      <w:suff w:val="nothing"/>
      <w:lvlText w:val="（%1）"/>
      <w:lvlJc w:val="left"/>
    </w:lvl>
  </w:abstractNum>
  <w:abstractNum w:abstractNumId="2">
    <w:nsid w:val="00000009"/>
    <w:multiLevelType w:val="singleLevel"/>
    <w:tmpl w:val="00000009"/>
    <w:lvl w:ilvl="0" w:tentative="0">
      <w:start w:val="5"/>
      <w:numFmt w:val="decimal"/>
      <w:suff w:val="nothing"/>
      <w:lvlText w:val="%1."/>
      <w:lvlJc w:val="left"/>
    </w:lvl>
  </w:abstractNum>
  <w:abstractNum w:abstractNumId="3">
    <w:nsid w:val="0000000A"/>
    <w:multiLevelType w:val="singleLevel"/>
    <w:tmpl w:val="0000000A"/>
    <w:lvl w:ilvl="0" w:tentative="0">
      <w:start w:val="1"/>
      <w:numFmt w:val="decimal"/>
      <w:suff w:val="nothing"/>
      <w:lvlText w:val="（%1）"/>
      <w:lvlJc w:val="left"/>
    </w:lvl>
  </w:abstractNum>
  <w:abstractNum w:abstractNumId="4">
    <w:nsid w:val="0000000B"/>
    <w:multiLevelType w:val="singleLevel"/>
    <w:tmpl w:val="0000000B"/>
    <w:lvl w:ilvl="0" w:tentative="0">
      <w:start w:val="1"/>
      <w:numFmt w:val="chineseCounting"/>
      <w:suff w:val="nothing"/>
      <w:lvlText w:val="（%1）"/>
      <w:lvlJc w:val="left"/>
    </w:lvl>
  </w:abstractNum>
  <w:abstractNum w:abstractNumId="5">
    <w:nsid w:val="0000000C"/>
    <w:multiLevelType w:val="singleLevel"/>
    <w:tmpl w:val="0000000C"/>
    <w:lvl w:ilvl="0" w:tentative="0">
      <w:start w:val="1"/>
      <w:numFmt w:val="chineseCounting"/>
      <w:suff w:val="nothing"/>
      <w:lvlText w:val="%1、"/>
      <w:lvlJc w:val="left"/>
    </w:lvl>
  </w:abstractNum>
  <w:abstractNum w:abstractNumId="6">
    <w:nsid w:val="0000000D"/>
    <w:multiLevelType w:val="singleLevel"/>
    <w:tmpl w:val="0000000D"/>
    <w:lvl w:ilvl="0" w:tentative="0">
      <w:start w:val="2"/>
      <w:numFmt w:val="chineseCounting"/>
      <w:suff w:val="nothing"/>
      <w:lvlText w:val="（%1）"/>
      <w:lvlJc w:val="left"/>
    </w:lvl>
  </w:abstractNum>
  <w:abstractNum w:abstractNumId="7">
    <w:nsid w:val="0000000E"/>
    <w:multiLevelType w:val="singleLevel"/>
    <w:tmpl w:val="0000000E"/>
    <w:lvl w:ilvl="0" w:tentative="0">
      <w:start w:val="2"/>
      <w:numFmt w:val="decimal"/>
      <w:suff w:val="nothing"/>
      <w:lvlText w:val="%1."/>
      <w:lvlJc w:val="left"/>
    </w:lvl>
  </w:abstractNum>
  <w:abstractNum w:abstractNumId="8">
    <w:nsid w:val="00000010"/>
    <w:multiLevelType w:val="singleLevel"/>
    <w:tmpl w:val="00000010"/>
    <w:lvl w:ilvl="0" w:tentative="0">
      <w:start w:val="1"/>
      <w:numFmt w:val="decimal"/>
      <w:suff w:val="nothing"/>
      <w:lvlText w:val="（%1）"/>
      <w:lvlJc w:val="left"/>
    </w:lvl>
  </w:abstractNum>
  <w:abstractNum w:abstractNumId="9">
    <w:nsid w:val="00000011"/>
    <w:multiLevelType w:val="singleLevel"/>
    <w:tmpl w:val="00000011"/>
    <w:lvl w:ilvl="0" w:tentative="0">
      <w:start w:val="1"/>
      <w:numFmt w:val="decimal"/>
      <w:suff w:val="nothing"/>
      <w:lvlText w:val="（%1）"/>
      <w:lvlJc w:val="left"/>
    </w:lvl>
  </w:abstractNum>
  <w:num w:numId="1">
    <w:abstractNumId w:val="5"/>
  </w:num>
  <w:num w:numId="2">
    <w:abstractNumId w:val="1"/>
  </w:num>
  <w:num w:numId="3">
    <w:abstractNumId w:val="4"/>
  </w:num>
  <w:num w:numId="4">
    <w:abstractNumId w:val="7"/>
  </w:num>
  <w:num w:numId="5">
    <w:abstractNumId w:val="3"/>
  </w:num>
  <w:num w:numId="6">
    <w:abstractNumId w:val="0"/>
  </w:num>
  <w:num w:numId="7">
    <w:abstractNumId w:val="8"/>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521B7"/>
    <w:rsid w:val="03901222"/>
    <w:rsid w:val="18DB1334"/>
    <w:rsid w:val="62C5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2019-07-22T08:22:00Z</dcterms:created>
  <dc:creator>Administrator</dc:creator>
  <cp:lastModifiedBy>Administrator</cp:lastModifiedBy>
  <dcterms:modified xsi:type="dcterms:W3CDTF">2019-07-23T02:00:09Z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