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right="0" w:rightChars="0" w:firstLine="0" w:firstLineChars="0"/>
        <w:jc w:val="center"/>
        <w:rPr>
          <w:rFonts w:hint="eastAsia" w:ascii="宋体" w:hAnsi="宋体" w:eastAsia="宋体" w:cs="宋体"/>
          <w:b/>
          <w:bCs/>
          <w:color w:val="auto"/>
          <w:sz w:val="44"/>
          <w:szCs w:val="44"/>
        </w:rPr>
      </w:pPr>
      <w:r>
        <w:rPr>
          <w:rFonts w:hint="eastAsia" w:ascii="宋体" w:hAnsi="宋体" w:eastAsia="宋体" w:cs="宋体"/>
          <w:b/>
          <w:bCs/>
          <w:color w:val="auto"/>
          <w:sz w:val="44"/>
          <w:szCs w:val="44"/>
        </w:rPr>
        <w:t>财政支出项目</w:t>
      </w:r>
      <w:r>
        <w:rPr>
          <w:rFonts w:hint="eastAsia" w:ascii="宋体" w:hAnsi="宋体" w:cs="宋体"/>
          <w:b/>
          <w:bCs/>
          <w:color w:val="auto"/>
          <w:sz w:val="44"/>
          <w:szCs w:val="44"/>
          <w:highlight w:val="none"/>
          <w:lang w:eastAsia="zh-CN"/>
        </w:rPr>
        <w:t>政法转移支付</w:t>
      </w:r>
      <w:r>
        <w:rPr>
          <w:rFonts w:hint="eastAsia" w:ascii="宋体" w:hAnsi="宋体" w:eastAsia="宋体" w:cs="宋体"/>
          <w:b/>
          <w:bCs/>
          <w:color w:val="auto"/>
          <w:sz w:val="44"/>
          <w:szCs w:val="44"/>
        </w:rPr>
        <w:t>绩效评价报告</w:t>
      </w:r>
    </w:p>
    <w:p>
      <w:pPr>
        <w:rPr>
          <w:rFonts w:hint="eastAsia" w:ascii="宋体" w:hAnsi="宋体" w:eastAsia="宋体" w:cs="宋体"/>
          <w:color w:val="auto"/>
          <w:sz w:val="28"/>
          <w:szCs w:val="28"/>
        </w:rPr>
      </w:pP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项目概况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Chars="200" w:right="0" w:rightChars="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（一）项目单位基本情况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firstLine="560" w:firstLineChars="200"/>
        <w:jc w:val="both"/>
        <w:textAlignment w:val="auto"/>
        <w:outlineLvl w:val="9"/>
        <w:rPr>
          <w:rFonts w:hint="eastAsia" w:ascii="宋体" w:hAnsi="宋体" w:eastAsia="宋体"/>
          <w:color w:val="auto"/>
          <w:sz w:val="28"/>
          <w:lang w:eastAsia="zh-CN"/>
        </w:rPr>
      </w:pPr>
      <w:r>
        <w:rPr>
          <w:rFonts w:hint="eastAsia" w:ascii="宋体" w:hAnsi="宋体" w:eastAsia="宋体"/>
          <w:color w:val="auto"/>
          <w:sz w:val="28"/>
          <w:lang w:eastAsia="zh-CN"/>
        </w:rPr>
        <w:t>儋州市人民法院是国家审判机关，依法行使审判权，在儋州市委统一领导下，对儋州市人民代表大会和儋州市人民代表大会常务委员会负责并报告工作。</w:t>
      </w:r>
    </w:p>
    <w:p>
      <w:pPr>
        <w:ind w:firstLine="560" w:firstLineChars="200"/>
        <w:rPr>
          <w:rFonts w:hint="eastAsia" w:ascii="宋体" w:hAnsi="宋体" w:eastAsia="宋体"/>
          <w:color w:val="auto"/>
          <w:sz w:val="28"/>
          <w:lang w:eastAsia="zh-CN"/>
        </w:rPr>
      </w:pPr>
      <w:r>
        <w:rPr>
          <w:rFonts w:hint="eastAsia" w:ascii="宋体" w:hAnsi="宋体" w:eastAsia="宋体"/>
          <w:sz w:val="28"/>
          <w:szCs w:val="32"/>
          <w:lang w:eastAsia="zh-CN"/>
        </w:rPr>
        <w:t>儋州市人民法院</w:t>
      </w:r>
      <w:r>
        <w:rPr>
          <w:rFonts w:hint="eastAsia" w:ascii="宋体" w:hAnsi="宋体" w:eastAsia="宋体"/>
          <w:sz w:val="28"/>
          <w:szCs w:val="32"/>
        </w:rPr>
        <w:t>核定公务员编制1</w:t>
      </w:r>
      <w:r>
        <w:rPr>
          <w:rFonts w:hint="eastAsia" w:ascii="宋体" w:hAnsi="宋体" w:eastAsia="宋体"/>
          <w:sz w:val="28"/>
          <w:szCs w:val="32"/>
          <w:lang w:val="en-US" w:eastAsia="zh-CN"/>
        </w:rPr>
        <w:t>31</w:t>
      </w:r>
      <w:r>
        <w:rPr>
          <w:rFonts w:hint="eastAsia" w:ascii="宋体" w:hAnsi="宋体" w:eastAsia="宋体"/>
          <w:sz w:val="28"/>
          <w:szCs w:val="32"/>
        </w:rPr>
        <w:t>人，工勤编制</w:t>
      </w:r>
      <w:r>
        <w:rPr>
          <w:rFonts w:hint="eastAsia" w:ascii="宋体" w:hAnsi="宋体"/>
          <w:sz w:val="28"/>
          <w:szCs w:val="32"/>
          <w:lang w:eastAsia="zh-CN"/>
        </w:rPr>
        <w:t>实有人数</w:t>
      </w:r>
      <w:r>
        <w:rPr>
          <w:rFonts w:hint="eastAsia" w:ascii="宋体" w:hAnsi="宋体"/>
          <w:sz w:val="28"/>
          <w:szCs w:val="32"/>
          <w:lang w:val="en-US" w:eastAsia="zh-CN"/>
        </w:rPr>
        <w:t>8</w:t>
      </w:r>
      <w:r>
        <w:rPr>
          <w:rFonts w:hint="eastAsia" w:ascii="宋体" w:hAnsi="宋体" w:eastAsia="宋体"/>
          <w:sz w:val="28"/>
          <w:szCs w:val="32"/>
        </w:rPr>
        <w:t>人</w:t>
      </w:r>
      <w:r>
        <w:rPr>
          <w:rFonts w:hint="eastAsia" w:ascii="宋体" w:hAnsi="宋体" w:eastAsia="宋体"/>
          <w:sz w:val="28"/>
          <w:szCs w:val="32"/>
          <w:lang w:eastAsia="zh-CN"/>
        </w:rPr>
        <w:t>，</w:t>
      </w:r>
      <w:r>
        <w:rPr>
          <w:rFonts w:hint="eastAsia" w:ascii="宋体" w:hAnsi="宋体" w:eastAsia="宋体"/>
          <w:sz w:val="28"/>
          <w:szCs w:val="32"/>
        </w:rPr>
        <w:t>内设1</w:t>
      </w:r>
      <w:r>
        <w:rPr>
          <w:rFonts w:hint="eastAsia" w:ascii="宋体" w:hAnsi="宋体" w:eastAsia="宋体"/>
          <w:sz w:val="28"/>
          <w:szCs w:val="32"/>
          <w:lang w:val="en-US" w:eastAsia="zh-CN"/>
        </w:rPr>
        <w:t>7</w:t>
      </w:r>
      <w:r>
        <w:rPr>
          <w:rFonts w:hint="eastAsia" w:ascii="宋体" w:hAnsi="宋体" w:eastAsia="宋体"/>
          <w:sz w:val="28"/>
          <w:szCs w:val="32"/>
        </w:rPr>
        <w:t>个职能部门。</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lang w:eastAsia="zh-CN"/>
        </w:rPr>
        <w:t>（二）项目基本性质、用途和主要内容、涉及范围</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此预算项目是经财政</w:t>
      </w:r>
      <w:r>
        <w:rPr>
          <w:rFonts w:hint="eastAsia" w:ascii="宋体" w:hAnsi="宋体" w:eastAsia="宋体" w:cs="宋体"/>
          <w:color w:val="auto"/>
          <w:sz w:val="28"/>
          <w:szCs w:val="28"/>
          <w:highlight w:val="none"/>
          <w:lang w:eastAsia="zh-CN"/>
        </w:rPr>
        <w:t>预算批复，用于保障法院司法审判事业顺利而进行的各项资金支出及应用。主</w:t>
      </w:r>
      <w:r>
        <w:rPr>
          <w:rFonts w:hint="eastAsia" w:ascii="宋体" w:hAnsi="宋体" w:eastAsia="宋体" w:cs="宋体"/>
          <w:color w:val="auto"/>
          <w:sz w:val="28"/>
          <w:szCs w:val="28"/>
          <w:lang w:eastAsia="zh-CN"/>
        </w:rPr>
        <w:t>要内容有</w:t>
      </w:r>
      <w:r>
        <w:rPr>
          <w:rFonts w:hint="eastAsia" w:ascii="宋体" w:hAnsi="宋体" w:cs="宋体"/>
          <w:color w:val="auto"/>
          <w:sz w:val="28"/>
          <w:szCs w:val="28"/>
          <w:lang w:eastAsia="zh-CN"/>
        </w:rPr>
        <w:t>印刷费、邮电费、公车运维费、差旅费</w:t>
      </w:r>
      <w:r>
        <w:rPr>
          <w:rFonts w:hint="eastAsia" w:ascii="宋体" w:hAnsi="宋体" w:eastAsia="宋体" w:cs="宋体"/>
          <w:color w:val="auto"/>
          <w:sz w:val="28"/>
          <w:szCs w:val="28"/>
          <w:lang w:eastAsia="zh-CN"/>
        </w:rPr>
        <w:t>等多个方面。</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（三）跨年度项目的预期总目标及阶段性目标</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本项目不是跨年度项目。</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二、项目资金使用及管理情况</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（一）项目资金到位情况分析</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此项目资金为财政全额拨款，已全部到位。</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（二）项目资金使用情况分析</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资金整体使用状况良好，</w:t>
      </w:r>
      <w:r>
        <w:rPr>
          <w:rFonts w:hint="eastAsia" w:ascii="宋体" w:hAnsi="宋体" w:cs="宋体"/>
          <w:color w:val="auto"/>
          <w:sz w:val="28"/>
          <w:szCs w:val="28"/>
          <w:lang w:eastAsia="zh-CN"/>
        </w:rPr>
        <w:t>一是为审判工作提供良好的出行保障，二是为审判工作提供便捷渠道，</w:t>
      </w:r>
      <w:r>
        <w:rPr>
          <w:rFonts w:hint="eastAsia" w:ascii="宋体" w:hAnsi="宋体" w:eastAsia="宋体" w:cs="宋体"/>
          <w:color w:val="auto"/>
          <w:sz w:val="28"/>
          <w:szCs w:val="28"/>
          <w:lang w:eastAsia="zh-CN"/>
        </w:rPr>
        <w:t>使案件审判的</w:t>
      </w:r>
      <w:r>
        <w:rPr>
          <w:rFonts w:hint="eastAsia" w:ascii="宋体" w:hAnsi="宋体" w:cs="宋体"/>
          <w:color w:val="auto"/>
          <w:sz w:val="28"/>
          <w:szCs w:val="28"/>
          <w:lang w:eastAsia="zh-CN"/>
        </w:rPr>
        <w:t>送达</w:t>
      </w:r>
      <w:r>
        <w:rPr>
          <w:rFonts w:hint="eastAsia" w:ascii="宋体" w:hAnsi="宋体" w:eastAsia="宋体" w:cs="宋体"/>
          <w:color w:val="auto"/>
          <w:sz w:val="28"/>
          <w:szCs w:val="28"/>
          <w:lang w:eastAsia="zh-CN"/>
        </w:rPr>
        <w:t>工作</w:t>
      </w:r>
      <w:r>
        <w:rPr>
          <w:rFonts w:hint="eastAsia" w:ascii="宋体" w:hAnsi="宋体" w:cs="宋体"/>
          <w:color w:val="auto"/>
          <w:sz w:val="28"/>
          <w:szCs w:val="28"/>
          <w:lang w:eastAsia="zh-CN"/>
        </w:rPr>
        <w:t>效率</w:t>
      </w:r>
      <w:r>
        <w:rPr>
          <w:rFonts w:hint="eastAsia" w:ascii="宋体" w:hAnsi="宋体" w:eastAsia="宋体" w:cs="宋体"/>
          <w:color w:val="auto"/>
          <w:sz w:val="28"/>
          <w:szCs w:val="28"/>
          <w:lang w:eastAsia="zh-CN"/>
        </w:rPr>
        <w:t>得到极大提高</w:t>
      </w:r>
      <w:r>
        <w:rPr>
          <w:rFonts w:hint="eastAsia" w:ascii="宋体" w:hAnsi="宋体" w:cs="宋体"/>
          <w:color w:val="auto"/>
          <w:sz w:val="28"/>
          <w:szCs w:val="28"/>
          <w:lang w:eastAsia="zh-CN"/>
        </w:rPr>
        <w:t>，三是保障司法宣传经费，加大司法宣传力度，彰显司法权威性</w:t>
      </w:r>
      <w:r>
        <w:rPr>
          <w:rFonts w:hint="eastAsia" w:ascii="宋体" w:hAnsi="宋体" w:eastAsia="宋体" w:cs="宋体"/>
          <w:color w:val="auto"/>
          <w:sz w:val="28"/>
          <w:szCs w:val="28"/>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项目资金管理情况分析</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eastAsia="zh-CN"/>
        </w:rPr>
        <w:t>为了实现对资金的合理使用，单位成立了预算项目管理小组，制订了《项目资金管理办法》，在管理使用过程中严格执行。指定专门财务人员负责日常检查监督管理工作，对资金使用进行过程控制，发现问题及时汇报，合理解决。</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Chars="200" w:right="0" w:rightChars="0"/>
        <w:jc w:val="both"/>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  三、项目组织实施情况</w:t>
      </w:r>
    </w:p>
    <w:p>
      <w:pPr>
        <w:keepNext w:val="0"/>
        <w:keepLines w:val="0"/>
        <w:pageBreakBefore w:val="0"/>
        <w:widowControl w:val="0"/>
        <w:numPr>
          <w:ilvl w:val="0"/>
          <w:numId w:val="3"/>
        </w:numPr>
        <w:kinsoku/>
        <w:wordWrap/>
        <w:overflowPunct/>
        <w:topLinePunct w:val="0"/>
        <w:autoSpaceDE/>
        <w:autoSpaceDN/>
        <w:bidi w:val="0"/>
        <w:adjustRightInd/>
        <w:snapToGrid/>
        <w:spacing w:before="0" w:beforeLines="0" w:after="0" w:afterLines="0" w:line="240" w:lineRule="auto"/>
        <w:ind w:right="0" w:rightChars="0" w:firstLine="560" w:firstLineChars="200"/>
        <w:jc w:val="both"/>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项目组织情况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     此项目非工程项目，无招投标及现场验收等情况。</w:t>
      </w:r>
    </w:p>
    <w:p>
      <w:pPr>
        <w:keepNext w:val="0"/>
        <w:keepLines w:val="0"/>
        <w:pageBreakBefore w:val="0"/>
        <w:widowControl w:val="0"/>
        <w:numPr>
          <w:ilvl w:val="0"/>
          <w:numId w:val="3"/>
        </w:numPr>
        <w:kinsoku/>
        <w:wordWrap/>
        <w:overflowPunct/>
        <w:topLinePunct w:val="0"/>
        <w:autoSpaceDE/>
        <w:autoSpaceDN/>
        <w:bidi w:val="0"/>
        <w:adjustRightInd/>
        <w:snapToGrid/>
        <w:spacing w:before="0" w:beforeLines="0" w:after="0" w:afterLines="0" w:line="240" w:lineRule="auto"/>
        <w:ind w:right="0" w:rightChars="0" w:firstLine="560" w:firstLineChars="200"/>
        <w:jc w:val="both"/>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项目管理情况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     无。</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Chars="200" w:right="0" w:rightChars="0"/>
        <w:jc w:val="both"/>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lang w:eastAsia="zh-CN"/>
        </w:rPr>
        <w:t>四、</w:t>
      </w:r>
      <w:r>
        <w:rPr>
          <w:rFonts w:hint="eastAsia" w:ascii="宋体" w:hAnsi="宋体" w:eastAsia="宋体" w:cs="宋体"/>
          <w:color w:val="auto"/>
          <w:sz w:val="28"/>
          <w:szCs w:val="28"/>
        </w:rPr>
        <w:t>项目绩效情况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lang w:eastAsia="zh-CN"/>
        </w:rPr>
        <w:t>（一）项目绩效目标完成情况分析</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1.项目的经济型分析</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lang w:eastAsia="zh-CN"/>
        </w:rPr>
        <w:t>）项目成本控制情况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项目实施严格按照预算执行，在预算年度及时完成，完成质量良好。对项目内分项目实行规范化管理，逐个分析各项成本情况，结合财政法规，充分发挥财务人员专业知识及主观能动，在整体控制上达到预期效果。</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lang w:eastAsia="zh-CN"/>
        </w:rPr>
        <w:t>）项目成本节约情况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在中央及省委厉行节约精神的要求下，本着高效节约的原则，控制项目实施过程，按照财务制度相关要求，对每一项支出严格把关，避免不必要的浪费，有效节约了项目成本，提高了资金使用效率。</w:t>
      </w:r>
    </w:p>
    <w:p>
      <w:pPr>
        <w:keepNext w:val="0"/>
        <w:keepLines w:val="0"/>
        <w:pageBreakBefore w:val="0"/>
        <w:widowControl w:val="0"/>
        <w:numPr>
          <w:ilvl w:val="0"/>
          <w:numId w:val="4"/>
        </w:numPr>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项目的效率性分析</w:t>
      </w:r>
    </w:p>
    <w:p>
      <w:pPr>
        <w:keepNext w:val="0"/>
        <w:keepLines w:val="0"/>
        <w:pageBreakBefore w:val="0"/>
        <w:widowControl w:val="0"/>
        <w:numPr>
          <w:ilvl w:val="0"/>
          <w:numId w:val="5"/>
        </w:numPr>
        <w:kinsoku/>
        <w:wordWrap/>
        <w:overflowPunct/>
        <w:topLinePunct w:val="0"/>
        <w:autoSpaceDE/>
        <w:autoSpaceDN/>
        <w:bidi w:val="0"/>
        <w:adjustRightInd/>
        <w:snapToGrid/>
        <w:spacing w:before="0" w:beforeLines="0" w:after="0" w:afterLines="0" w:line="240" w:lineRule="auto"/>
        <w:ind w:leftChars="200" w:right="0" w:rightChars="0"/>
        <w:jc w:val="both"/>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项目的实施进度</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    此项目按照预算批复指标逐项实施完成，支出进度与预算年度一致。</w:t>
      </w:r>
    </w:p>
    <w:p>
      <w:pPr>
        <w:keepNext w:val="0"/>
        <w:keepLines w:val="0"/>
        <w:pageBreakBefore w:val="0"/>
        <w:widowControl w:val="0"/>
        <w:numPr>
          <w:ilvl w:val="0"/>
          <w:numId w:val="5"/>
        </w:numPr>
        <w:kinsoku/>
        <w:wordWrap/>
        <w:overflowPunct/>
        <w:topLinePunct w:val="0"/>
        <w:autoSpaceDE/>
        <w:autoSpaceDN/>
        <w:bidi w:val="0"/>
        <w:adjustRightInd/>
        <w:snapToGrid/>
        <w:spacing w:before="0" w:beforeLines="0" w:after="0" w:afterLines="0" w:line="240" w:lineRule="auto"/>
        <w:ind w:leftChars="200" w:right="0" w:rightChars="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项目的完成质量</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 xml:space="preserve">    各项支出完成质量良好，效益显著，得到干警</w:t>
      </w:r>
      <w:r>
        <w:rPr>
          <w:rFonts w:hint="eastAsia" w:ascii="宋体" w:hAnsi="宋体" w:cs="宋体"/>
          <w:color w:val="auto"/>
          <w:sz w:val="28"/>
          <w:szCs w:val="28"/>
          <w:lang w:val="en-US" w:eastAsia="zh-CN"/>
        </w:rPr>
        <w:t>的</w:t>
      </w:r>
      <w:r>
        <w:rPr>
          <w:rFonts w:hint="eastAsia" w:ascii="宋体" w:hAnsi="宋体" w:eastAsia="宋体" w:cs="宋体"/>
          <w:color w:val="auto"/>
          <w:sz w:val="28"/>
          <w:szCs w:val="28"/>
          <w:lang w:val="en-US" w:eastAsia="zh-CN"/>
        </w:rPr>
        <w:t xml:space="preserve">一致好评。  </w:t>
      </w:r>
    </w:p>
    <w:p>
      <w:pPr>
        <w:keepNext w:val="0"/>
        <w:keepLines w:val="0"/>
        <w:pageBreakBefore w:val="0"/>
        <w:widowControl/>
        <w:numPr>
          <w:ilvl w:val="0"/>
          <w:numId w:val="6"/>
        </w:numPr>
        <w:shd w:val="clear" w:color="auto" w:fill="FFFFFF"/>
        <w:kinsoku/>
        <w:wordWrap/>
        <w:overflowPunct/>
        <w:topLinePunct w:val="0"/>
        <w:autoSpaceDE/>
        <w:autoSpaceDN/>
        <w:bidi w:val="0"/>
        <w:snapToGrid w:val="0"/>
        <w:spacing w:before="0" w:beforeLines="0" w:after="0" w:afterLines="0" w:line="540" w:lineRule="exact"/>
        <w:ind w:left="0" w:leftChars="0" w:right="0" w:rightChars="0"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项目的效益性分析</w:t>
      </w:r>
    </w:p>
    <w:p>
      <w:pPr>
        <w:keepNext w:val="0"/>
        <w:keepLines w:val="0"/>
        <w:pageBreakBefore w:val="0"/>
        <w:widowControl/>
        <w:numPr>
          <w:ilvl w:val="0"/>
          <w:numId w:val="7"/>
        </w:numPr>
        <w:shd w:val="clear" w:color="auto" w:fill="FFFFFF"/>
        <w:kinsoku/>
        <w:wordWrap/>
        <w:overflowPunct/>
        <w:topLinePunct w:val="0"/>
        <w:autoSpaceDE/>
        <w:autoSpaceDN/>
        <w:bidi w:val="0"/>
        <w:snapToGrid w:val="0"/>
        <w:spacing w:before="0" w:beforeLines="0" w:after="0" w:afterLines="0" w:line="540" w:lineRule="exact"/>
        <w:ind w:leftChars="200" w:right="0" w:rightChars="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项目预算目标完成程度</w:t>
      </w:r>
    </w:p>
    <w:p>
      <w:pPr>
        <w:keepNext w:val="0"/>
        <w:keepLines w:val="0"/>
        <w:pageBreakBefore w:val="0"/>
        <w:widowControl/>
        <w:numPr>
          <w:ilvl w:val="0"/>
          <w:numId w:val="0"/>
        </w:numPr>
        <w:shd w:val="clear" w:color="auto" w:fill="FFFFFF"/>
        <w:kinsoku/>
        <w:wordWrap/>
        <w:overflowPunct/>
        <w:topLinePunct w:val="0"/>
        <w:autoSpaceDE/>
        <w:autoSpaceDN/>
        <w:bidi w:val="0"/>
        <w:snapToGrid w:val="0"/>
        <w:spacing w:before="0" w:beforeLines="0" w:after="0" w:afterLines="0" w:line="540" w:lineRule="exact"/>
        <w:ind w:right="0" w:rightChars="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lang w:eastAsia="zh-CN"/>
        </w:rPr>
        <w:t>预算年度内本项目各项预算目标顺利完成，有力保障了单位审判执行等各项工作顺利开展。</w:t>
      </w:r>
    </w:p>
    <w:p>
      <w:pPr>
        <w:keepNext w:val="0"/>
        <w:keepLines w:val="0"/>
        <w:pageBreakBefore w:val="0"/>
        <w:widowControl/>
        <w:numPr>
          <w:ilvl w:val="0"/>
          <w:numId w:val="7"/>
        </w:numPr>
        <w:shd w:val="clear" w:color="auto" w:fill="FFFFFF"/>
        <w:kinsoku/>
        <w:wordWrap/>
        <w:overflowPunct/>
        <w:topLinePunct w:val="0"/>
        <w:autoSpaceDE/>
        <w:autoSpaceDN/>
        <w:bidi w:val="0"/>
        <w:snapToGrid w:val="0"/>
        <w:spacing w:before="0" w:beforeLines="0" w:after="0" w:afterLines="0" w:line="540" w:lineRule="exact"/>
        <w:ind w:leftChars="200" w:right="0" w:rightChars="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项目实施对经济和社会的影响</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 xml:space="preserve">    </w:t>
      </w:r>
      <w:r>
        <w:rPr>
          <w:rFonts w:hint="eastAsia" w:ascii="宋体" w:hAnsi="宋体" w:eastAsia="宋体" w:cs="宋体"/>
          <w:b w:val="0"/>
          <w:bCs w:val="0"/>
          <w:color w:val="auto"/>
          <w:sz w:val="28"/>
          <w:szCs w:val="28"/>
          <w:lang w:eastAsia="zh-CN"/>
        </w:rPr>
        <w:t>各类审判工作成效明显，有效地维护了</w:t>
      </w:r>
      <w:r>
        <w:rPr>
          <w:rFonts w:hint="eastAsia" w:ascii="宋体" w:hAnsi="宋体" w:cs="宋体"/>
          <w:b w:val="0"/>
          <w:bCs w:val="0"/>
          <w:color w:val="auto"/>
          <w:sz w:val="28"/>
          <w:szCs w:val="28"/>
          <w:lang w:eastAsia="zh-CN"/>
        </w:rPr>
        <w:t>儋州</w:t>
      </w:r>
      <w:r>
        <w:rPr>
          <w:rFonts w:hint="eastAsia" w:ascii="宋体" w:hAnsi="宋体" w:eastAsia="宋体" w:cs="宋体"/>
          <w:b w:val="0"/>
          <w:bCs w:val="0"/>
          <w:color w:val="auto"/>
          <w:sz w:val="28"/>
          <w:szCs w:val="28"/>
          <w:lang w:eastAsia="zh-CN"/>
        </w:rPr>
        <w:t>地区社会稳定，经济发展和人民安居乐业。</w:t>
      </w:r>
      <w:r>
        <w:rPr>
          <w:rFonts w:hint="eastAsia" w:ascii="宋体" w:hAnsi="宋体" w:eastAsia="宋体" w:cs="宋体"/>
          <w:color w:val="auto"/>
          <w:sz w:val="28"/>
          <w:szCs w:val="28"/>
          <w:lang w:eastAsia="zh-CN"/>
        </w:rPr>
        <w:t>为地区经济社会发展提供了持续有力的司法保障与支持。</w:t>
      </w:r>
    </w:p>
    <w:p>
      <w:pPr>
        <w:keepNext w:val="0"/>
        <w:keepLines w:val="0"/>
        <w:pageBreakBefore w:val="0"/>
        <w:widowControl/>
        <w:numPr>
          <w:ilvl w:val="0"/>
          <w:numId w:val="0"/>
        </w:numPr>
        <w:shd w:val="clear" w:color="auto" w:fill="FFFFFF"/>
        <w:kinsoku/>
        <w:wordWrap/>
        <w:overflowPunct/>
        <w:topLinePunct w:val="0"/>
        <w:autoSpaceDE/>
        <w:autoSpaceDN/>
        <w:bidi w:val="0"/>
        <w:snapToGrid w:val="0"/>
        <w:spacing w:before="0" w:beforeLines="0" w:after="0" w:afterLines="0" w:line="540" w:lineRule="exact"/>
        <w:ind w:right="0" w:rightChars="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    4.项目的可持续性分析</w:t>
      </w:r>
    </w:p>
    <w:p>
      <w:pPr>
        <w:keepNext w:val="0"/>
        <w:keepLines w:val="0"/>
        <w:pageBreakBefore w:val="0"/>
        <w:widowControl/>
        <w:shd w:val="clear" w:color="auto" w:fill="FFFFFF"/>
        <w:kinsoku/>
        <w:wordWrap/>
        <w:overflowPunct/>
        <w:topLinePunct w:val="0"/>
        <w:autoSpaceDE/>
        <w:autoSpaceDN/>
        <w:bidi w:val="0"/>
        <w:snapToGrid w:val="0"/>
        <w:spacing w:before="0" w:beforeLines="0" w:after="0" w:afterLines="0" w:line="540" w:lineRule="exact"/>
        <w:ind w:left="0" w:leftChars="0" w:right="0" w:rightChars="0"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通过历年以来对审判业务专项资金的使用管理，制度建设有力、人员配备齐整，整体上已经形成了一套比较成熟的管理模式。随着审判业务的开展及各项财政政策的完善，此预算项目将更加有效促进各项审判业务的持续发展。</w:t>
      </w:r>
    </w:p>
    <w:p>
      <w:pPr>
        <w:keepNext w:val="0"/>
        <w:keepLines w:val="0"/>
        <w:pageBreakBefore w:val="0"/>
        <w:widowControl/>
        <w:numPr>
          <w:ilvl w:val="0"/>
          <w:numId w:val="8"/>
        </w:numPr>
        <w:shd w:val="clear" w:color="auto" w:fill="FFFFFF"/>
        <w:kinsoku/>
        <w:wordWrap/>
        <w:overflowPunct/>
        <w:topLinePunct w:val="0"/>
        <w:autoSpaceDE/>
        <w:autoSpaceDN/>
        <w:bidi w:val="0"/>
        <w:snapToGrid w:val="0"/>
        <w:spacing w:before="0" w:beforeLines="0" w:after="0" w:afterLines="0" w:line="540" w:lineRule="exact"/>
        <w:ind w:left="0" w:leftChars="0" w:right="0" w:rightChars="0"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项目预算批复的绩效指标完成情况分析</w:t>
      </w:r>
    </w:p>
    <w:p>
      <w:pPr>
        <w:keepNext w:val="0"/>
        <w:keepLines w:val="0"/>
        <w:pageBreakBefore w:val="0"/>
        <w:widowControl/>
        <w:numPr>
          <w:ilvl w:val="0"/>
          <w:numId w:val="0"/>
        </w:numPr>
        <w:shd w:val="clear" w:color="auto" w:fill="FFFFFF"/>
        <w:kinsoku/>
        <w:wordWrap/>
        <w:overflowPunct/>
        <w:topLinePunct w:val="0"/>
        <w:autoSpaceDE/>
        <w:autoSpaceDN/>
        <w:bidi w:val="0"/>
        <w:snapToGrid w:val="0"/>
        <w:spacing w:before="0" w:beforeLines="0" w:after="0" w:afterLines="0" w:line="540" w:lineRule="exact"/>
        <w:ind w:right="0" w:rightChars="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20</w:t>
      </w:r>
      <w:r>
        <w:rPr>
          <w:rFonts w:hint="eastAsia" w:ascii="宋体" w:hAnsi="宋体" w:cs="宋体"/>
          <w:color w:val="auto"/>
          <w:sz w:val="28"/>
          <w:szCs w:val="28"/>
          <w:highlight w:val="none"/>
          <w:lang w:val="en-US" w:eastAsia="zh-CN"/>
        </w:rPr>
        <w:t>18</w:t>
      </w:r>
      <w:r>
        <w:rPr>
          <w:rFonts w:hint="eastAsia" w:ascii="宋体" w:hAnsi="宋体" w:eastAsia="宋体" w:cs="宋体"/>
          <w:color w:val="auto"/>
          <w:sz w:val="28"/>
          <w:szCs w:val="28"/>
          <w:highlight w:val="none"/>
          <w:lang w:val="en-US" w:eastAsia="zh-CN"/>
        </w:rPr>
        <w:t>年</w:t>
      </w:r>
      <w:r>
        <w:rPr>
          <w:rFonts w:hint="eastAsia" w:ascii="宋体" w:hAnsi="宋体" w:cs="宋体"/>
          <w:color w:val="auto"/>
          <w:sz w:val="28"/>
          <w:szCs w:val="28"/>
          <w:highlight w:val="none"/>
          <w:lang w:val="en-US" w:eastAsia="zh-CN"/>
        </w:rPr>
        <w:t>政法转移支付资金</w:t>
      </w:r>
      <w:r>
        <w:rPr>
          <w:rFonts w:hint="eastAsia" w:ascii="宋体" w:hAnsi="宋体" w:eastAsia="宋体" w:cs="宋体"/>
          <w:color w:val="auto"/>
          <w:sz w:val="28"/>
          <w:szCs w:val="28"/>
          <w:highlight w:val="none"/>
          <w:lang w:val="en-US" w:eastAsia="zh-CN"/>
        </w:rPr>
        <w:t>预算批复绩效指标完成情况：</w:t>
      </w:r>
    </w:p>
    <w:p>
      <w:pPr>
        <w:keepNext w:val="0"/>
        <w:keepLines w:val="0"/>
        <w:pageBreakBefore w:val="0"/>
        <w:widowControl/>
        <w:numPr>
          <w:ilvl w:val="0"/>
          <w:numId w:val="0"/>
        </w:numPr>
        <w:shd w:val="clear" w:color="auto" w:fill="FFFFFF"/>
        <w:kinsoku/>
        <w:wordWrap/>
        <w:overflowPunct/>
        <w:topLinePunct w:val="0"/>
        <w:autoSpaceDE/>
        <w:autoSpaceDN/>
        <w:bidi w:val="0"/>
        <w:snapToGrid w:val="0"/>
        <w:spacing w:before="0" w:beforeLines="0" w:after="0" w:afterLines="0" w:line="540" w:lineRule="exact"/>
        <w:ind w:right="0" w:rightChars="0"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w:t>
      </w:r>
      <w:r>
        <w:rPr>
          <w:rFonts w:hint="eastAsia" w:ascii="宋体" w:hAnsi="宋体" w:cs="宋体"/>
          <w:b w:val="0"/>
          <w:bCs w:val="0"/>
          <w:color w:val="auto"/>
          <w:sz w:val="28"/>
          <w:szCs w:val="28"/>
          <w:highlight w:val="none"/>
          <w:lang w:val="en-US" w:eastAsia="zh-CN"/>
        </w:rPr>
        <w:t>1</w:t>
      </w:r>
      <w:r>
        <w:rPr>
          <w:rFonts w:hint="eastAsia" w:ascii="宋体" w:hAnsi="宋体" w:eastAsia="宋体" w:cs="宋体"/>
          <w:b w:val="0"/>
          <w:bCs w:val="0"/>
          <w:color w:val="auto"/>
          <w:sz w:val="28"/>
          <w:szCs w:val="28"/>
          <w:highlight w:val="none"/>
          <w:lang w:val="en-US" w:eastAsia="zh-CN"/>
        </w:rPr>
        <w:t>）成效指标</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before="0" w:beforeLines="0" w:after="0" w:afterLines="0" w:line="360" w:lineRule="auto"/>
        <w:ind w:left="0" w:leftChars="0" w:right="0" w:rightChars="0" w:firstLine="560" w:firstLineChars="200"/>
        <w:jc w:val="both"/>
        <w:textAlignment w:val="auto"/>
        <w:outlineLvl w:val="9"/>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 </w:t>
      </w:r>
      <w:r>
        <w:rPr>
          <w:rFonts w:hint="eastAsia" w:ascii="宋体" w:hAnsi="宋体" w:eastAsia="宋体" w:cs="宋体"/>
          <w:color w:val="auto"/>
          <w:sz w:val="28"/>
          <w:szCs w:val="28"/>
          <w:highlight w:val="none"/>
          <w:lang w:val="en-US" w:eastAsia="zh-CN"/>
        </w:rPr>
        <w:sym w:font="Wingdings" w:char="F081"/>
      </w:r>
      <w:r>
        <w:rPr>
          <w:rFonts w:hint="eastAsia" w:ascii="宋体" w:hAnsi="宋体" w:cs="宋体"/>
          <w:b w:val="0"/>
          <w:bCs w:val="0"/>
          <w:color w:val="auto"/>
          <w:sz w:val="28"/>
          <w:szCs w:val="28"/>
          <w:highlight w:val="none"/>
          <w:lang w:val="en-US" w:eastAsia="zh-CN"/>
        </w:rPr>
        <w:t>当事人收到法律文书时间</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before="0" w:beforeLines="0" w:after="0" w:afterLines="0" w:line="360" w:lineRule="auto"/>
        <w:ind w:left="0" w:leftChars="0" w:right="0" w:rightChars="0" w:firstLine="560" w:firstLineChars="200"/>
        <w:jc w:val="both"/>
        <w:textAlignment w:val="auto"/>
        <w:outlineLvl w:val="9"/>
        <w:rPr>
          <w:rFonts w:hint="eastAsia" w:ascii="宋体" w:hAnsi="宋体" w:eastAsia="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政法转移支付保障送达人员差旅费、邮寄送达费，儋州境内的案件当事人在隔天收到裁判文书</w:t>
      </w:r>
      <w:r>
        <w:rPr>
          <w:rFonts w:hint="eastAsia" w:ascii="宋体" w:hAnsi="宋体" w:eastAsia="宋体" w:cs="宋体"/>
          <w:b w:val="0"/>
          <w:bCs w:val="0"/>
          <w:color w:val="auto"/>
          <w:sz w:val="28"/>
          <w:szCs w:val="28"/>
          <w:highlight w:val="none"/>
          <w:lang w:val="en-US" w:eastAsia="zh-CN"/>
        </w:rPr>
        <w:t>（</w:t>
      </w:r>
      <w:r>
        <w:rPr>
          <w:rFonts w:hint="eastAsia" w:ascii="宋体" w:hAnsi="宋体" w:cs="宋体"/>
          <w:b w:val="0"/>
          <w:bCs w:val="0"/>
          <w:color w:val="auto"/>
          <w:sz w:val="28"/>
          <w:szCs w:val="28"/>
          <w:highlight w:val="none"/>
          <w:lang w:val="en-US" w:eastAsia="zh-CN"/>
        </w:rPr>
        <w:t>文书生成一天后送达</w:t>
      </w:r>
      <w:r>
        <w:rPr>
          <w:rFonts w:hint="eastAsia" w:ascii="宋体" w:hAnsi="宋体" w:eastAsia="宋体" w:cs="宋体"/>
          <w:b w:val="0"/>
          <w:bCs w:val="0"/>
          <w:color w:val="auto"/>
          <w:sz w:val="28"/>
          <w:szCs w:val="28"/>
          <w:highlight w:val="none"/>
          <w:lang w:val="en-US" w:eastAsia="zh-CN"/>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before="0" w:beforeLines="0" w:after="0" w:afterLines="0" w:line="360" w:lineRule="auto"/>
        <w:ind w:left="0" w:leftChars="0" w:right="0" w:rightChars="0" w:firstLine="560" w:firstLineChars="200"/>
        <w:jc w:val="both"/>
        <w:textAlignment w:val="auto"/>
        <w:outlineLvl w:val="9"/>
        <w:rPr>
          <w:rFonts w:hint="eastAsia" w:ascii="宋体" w:hAnsi="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sym w:font="Wingdings" w:char="F082"/>
      </w:r>
      <w:r>
        <w:rPr>
          <w:rFonts w:hint="eastAsia" w:ascii="宋体" w:hAnsi="宋体" w:cs="宋体"/>
          <w:b w:val="0"/>
          <w:bCs w:val="0"/>
          <w:color w:val="auto"/>
          <w:sz w:val="28"/>
          <w:szCs w:val="28"/>
          <w:highlight w:val="none"/>
          <w:lang w:val="en-US" w:eastAsia="zh-CN"/>
        </w:rPr>
        <w:t>公车出行故障率</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before="0" w:beforeLines="0" w:after="0" w:afterLines="0" w:line="360" w:lineRule="auto"/>
        <w:ind w:left="0" w:leftChars="0" w:right="0" w:rightChars="0" w:firstLine="560" w:firstLineChars="200"/>
        <w:jc w:val="both"/>
        <w:textAlignment w:val="auto"/>
        <w:outlineLvl w:val="9"/>
        <w:rPr>
          <w:rFonts w:hint="eastAsia" w:ascii="宋体" w:hAnsi="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单位公车出行无故障（故障率为0%）</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before="0" w:beforeLines="0" w:after="0" w:afterLines="0" w:line="360" w:lineRule="auto"/>
        <w:ind w:left="0" w:leftChars="0" w:right="0" w:rightChars="0" w:firstLine="560" w:firstLineChars="200"/>
        <w:jc w:val="both"/>
        <w:textAlignment w:val="auto"/>
        <w:outlineLvl w:val="9"/>
        <w:rPr>
          <w:rFonts w:hint="eastAsia" w:ascii="宋体" w:hAnsi="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sym w:font="Wingdings" w:char="F083"/>
      </w:r>
      <w:r>
        <w:rPr>
          <w:rFonts w:hint="eastAsia" w:ascii="宋体" w:hAnsi="宋体" w:cs="宋体"/>
          <w:b w:val="0"/>
          <w:bCs w:val="0"/>
          <w:color w:val="auto"/>
          <w:sz w:val="28"/>
          <w:szCs w:val="28"/>
          <w:highlight w:val="none"/>
          <w:lang w:val="en-US" w:eastAsia="zh-CN"/>
        </w:rPr>
        <w:t>印刷成本</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before="0" w:beforeLines="0" w:after="0" w:afterLines="0" w:line="360" w:lineRule="auto"/>
        <w:ind w:left="0" w:leftChars="0" w:right="0" w:rightChars="0" w:firstLine="560" w:firstLineChars="200"/>
        <w:jc w:val="both"/>
        <w:textAlignment w:val="auto"/>
        <w:outlineLvl w:val="9"/>
        <w:rPr>
          <w:rFonts w:hint="eastAsia" w:ascii="宋体" w:hAnsi="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审判材料印刷无错误（错误率为0%）</w:t>
      </w:r>
    </w:p>
    <w:p>
      <w:pPr>
        <w:keepNext w:val="0"/>
        <w:keepLines w:val="0"/>
        <w:pageBreakBefore w:val="0"/>
        <w:widowControl/>
        <w:numPr>
          <w:ilvl w:val="0"/>
          <w:numId w:val="9"/>
        </w:numPr>
        <w:shd w:val="clear" w:color="auto" w:fill="FFFFFF"/>
        <w:kinsoku/>
        <w:wordWrap/>
        <w:overflowPunct/>
        <w:topLinePunct w:val="0"/>
        <w:autoSpaceDE/>
        <w:autoSpaceDN/>
        <w:bidi w:val="0"/>
        <w:snapToGrid w:val="0"/>
        <w:spacing w:before="0" w:beforeLines="0" w:after="0" w:afterLines="0" w:line="540" w:lineRule="exact"/>
        <w:ind w:leftChars="200" w:right="0" w:rightChars="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项目绩效目标未完成原因分析</w:t>
      </w:r>
    </w:p>
    <w:p>
      <w:pPr>
        <w:keepNext w:val="0"/>
        <w:keepLines w:val="0"/>
        <w:pageBreakBefore w:val="0"/>
        <w:widowControl/>
        <w:numPr>
          <w:ilvl w:val="0"/>
          <w:numId w:val="0"/>
        </w:numPr>
        <w:shd w:val="clear" w:color="auto" w:fill="FFFFFF"/>
        <w:kinsoku/>
        <w:wordWrap/>
        <w:overflowPunct/>
        <w:topLinePunct w:val="0"/>
        <w:autoSpaceDE/>
        <w:autoSpaceDN/>
        <w:bidi w:val="0"/>
        <w:snapToGrid w:val="0"/>
        <w:spacing w:before="0" w:beforeLines="0" w:after="0" w:afterLines="0" w:line="540" w:lineRule="exact"/>
        <w:ind w:right="0" w:rightChars="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    绩效目标全部完成。</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Chars="200" w:right="0" w:rightChars="0"/>
        <w:jc w:val="both"/>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lang w:eastAsia="zh-CN"/>
        </w:rPr>
        <w:t>五、</w:t>
      </w:r>
      <w:r>
        <w:rPr>
          <w:rFonts w:hint="eastAsia" w:ascii="宋体" w:hAnsi="宋体" w:eastAsia="宋体" w:cs="宋体"/>
          <w:color w:val="auto"/>
          <w:sz w:val="28"/>
          <w:szCs w:val="28"/>
        </w:rPr>
        <w:t>综合评价</w:t>
      </w:r>
      <w:r>
        <w:rPr>
          <w:rFonts w:hint="eastAsia" w:ascii="宋体" w:hAnsi="宋体" w:eastAsia="宋体" w:cs="宋体"/>
          <w:color w:val="auto"/>
          <w:sz w:val="28"/>
          <w:szCs w:val="28"/>
          <w:lang w:eastAsia="zh-CN"/>
        </w:rPr>
        <w:t>及评价结论</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审判业务是法院工作的绝对重心，是其他各项工作开展的基础，而审判业务专项资金为其提供了专门的资金支持，使审判业务良好开展成为可能。通过管理使用此项目资金，达到了保障审判、节约效能的目的。</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六、主要经验做法及问题建议</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在项目实施过程中，我单位高度重视，分管副院长负责，行装处财务室负责具体项目实施，各岗位人员各司其职，最终圆满完成年度预算计划，有力保障了单位全年审判工作，在</w:t>
      </w:r>
      <w:r>
        <w:rPr>
          <w:rFonts w:hint="eastAsia" w:ascii="宋体" w:hAnsi="宋体" w:cs="宋体"/>
          <w:color w:val="auto"/>
          <w:sz w:val="28"/>
          <w:szCs w:val="28"/>
          <w:lang w:eastAsia="zh-CN"/>
        </w:rPr>
        <w:t>儋州</w:t>
      </w:r>
      <w:r>
        <w:rPr>
          <w:rFonts w:hint="eastAsia" w:ascii="宋体" w:hAnsi="宋体" w:eastAsia="宋体" w:cs="宋体"/>
          <w:color w:val="auto"/>
          <w:sz w:val="28"/>
          <w:szCs w:val="28"/>
          <w:lang w:eastAsia="zh-CN"/>
        </w:rPr>
        <w:t>地区产生了良好的司法效果，化解大量社会矛盾，彰显了公平正义。</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我单位将继续秉承上年度预算项目管理有益经验，改进工作中的不足，使预算资金使用更加科学合理，节约效能，通过预算项目合理支出为单位乃至整个</w:t>
      </w:r>
      <w:r>
        <w:rPr>
          <w:rFonts w:hint="eastAsia" w:ascii="宋体" w:hAnsi="宋体" w:cs="宋体"/>
          <w:color w:val="auto"/>
          <w:sz w:val="28"/>
          <w:szCs w:val="28"/>
          <w:lang w:eastAsia="zh-CN"/>
        </w:rPr>
        <w:t>儋州</w:t>
      </w:r>
      <w:r>
        <w:rPr>
          <w:rFonts w:hint="eastAsia" w:ascii="宋体" w:hAnsi="宋体" w:eastAsia="宋体" w:cs="宋体"/>
          <w:color w:val="auto"/>
          <w:sz w:val="28"/>
          <w:szCs w:val="28"/>
          <w:lang w:eastAsia="zh-CN"/>
        </w:rPr>
        <w:t>地区司法事业增添助力。</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宋体" w:hAnsi="宋体" w:eastAsia="宋体" w:cs="宋体"/>
          <w:color w:val="auto"/>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宋体" w:hAnsi="宋体" w:eastAsia="宋体" w:cs="宋体"/>
          <w:color w:val="auto"/>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jc w:val="right"/>
        <w:textAlignment w:val="auto"/>
        <w:outlineLvl w:val="9"/>
        <w:rPr>
          <w:rFonts w:hint="eastAsia" w:ascii="宋体" w:hAnsi="宋体" w:eastAsia="宋体" w:cs="宋体"/>
          <w:color w:val="auto"/>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righ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                           绩效评价工作小组</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righ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                            201</w:t>
      </w:r>
      <w:r>
        <w:rPr>
          <w:rFonts w:hint="eastAsia" w:ascii="宋体" w:hAnsi="宋体" w:cs="宋体"/>
          <w:color w:val="auto"/>
          <w:sz w:val="28"/>
          <w:szCs w:val="28"/>
          <w:lang w:val="en-US" w:eastAsia="zh-CN"/>
        </w:rPr>
        <w:t>9</w:t>
      </w:r>
      <w:r>
        <w:rPr>
          <w:rFonts w:hint="eastAsia" w:ascii="宋体" w:hAnsi="宋体" w:eastAsia="宋体" w:cs="宋体"/>
          <w:color w:val="auto"/>
          <w:sz w:val="28"/>
          <w:szCs w:val="28"/>
          <w:lang w:val="en-US" w:eastAsia="zh-CN"/>
        </w:rPr>
        <w:t>年</w:t>
      </w:r>
      <w:r>
        <w:rPr>
          <w:rFonts w:hint="eastAsia" w:ascii="宋体" w:hAnsi="宋体" w:cs="宋体"/>
          <w:color w:val="auto"/>
          <w:sz w:val="28"/>
          <w:szCs w:val="28"/>
          <w:lang w:val="en-US" w:eastAsia="zh-CN"/>
        </w:rPr>
        <w:t>7</w:t>
      </w:r>
      <w:r>
        <w:rPr>
          <w:rFonts w:hint="eastAsia" w:ascii="宋体" w:hAnsi="宋体" w:eastAsia="宋体" w:cs="宋体"/>
          <w:color w:val="auto"/>
          <w:sz w:val="28"/>
          <w:szCs w:val="28"/>
          <w:lang w:val="en-US" w:eastAsia="zh-CN"/>
        </w:rPr>
        <w:t>月</w:t>
      </w:r>
      <w:r>
        <w:rPr>
          <w:rFonts w:hint="eastAsia" w:ascii="宋体" w:hAnsi="宋体" w:cs="宋体"/>
          <w:color w:val="auto"/>
          <w:sz w:val="28"/>
          <w:szCs w:val="28"/>
          <w:lang w:val="en-US" w:eastAsia="zh-CN"/>
        </w:rPr>
        <w:t>22</w:t>
      </w:r>
      <w:r>
        <w:rPr>
          <w:rFonts w:hint="eastAsia" w:ascii="宋体" w:hAnsi="宋体" w:eastAsia="宋体" w:cs="宋体"/>
          <w:color w:val="auto"/>
          <w:sz w:val="28"/>
          <w:szCs w:val="28"/>
          <w:lang w:val="en-US" w:eastAsia="zh-CN"/>
        </w:rPr>
        <w:t>日</w:t>
      </w: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Century Gothic"/>
    <w:panose1 w:val="020F0502020204030204"/>
    <w:charset w:val="00"/>
    <w:family w:val="swiss"/>
    <w:pitch w:val="default"/>
    <w:sig w:usb0="00000000" w:usb1="00000000" w:usb2="00000001" w:usb3="00000000" w:csb0="0000019F" w:csb1="00000000"/>
  </w:font>
  <w:font w:name="Century Gothic">
    <w:panose1 w:val="020B0502020202020204"/>
    <w:charset w:val="00"/>
    <w:family w:val="auto"/>
    <w:pitch w:val="default"/>
    <w:sig w:usb0="00000287" w:usb1="00000000" w:usb2="00000000" w:usb3="00000000" w:csb0="2000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lvl w:ilvl="0" w:tentative="0">
      <w:start w:val="1"/>
      <w:numFmt w:val="decimal"/>
      <w:suff w:val="nothing"/>
      <w:lvlText w:val="（%1）"/>
      <w:lvlJc w:val="left"/>
    </w:lvl>
  </w:abstractNum>
  <w:abstractNum w:abstractNumId="1">
    <w:nsid w:val="00000007"/>
    <w:multiLevelType w:val="singleLevel"/>
    <w:tmpl w:val="00000007"/>
    <w:lvl w:ilvl="0" w:tentative="0">
      <w:start w:val="3"/>
      <w:numFmt w:val="chineseCounting"/>
      <w:suff w:val="nothing"/>
      <w:lvlText w:val="（%1）"/>
      <w:lvlJc w:val="left"/>
    </w:lvl>
  </w:abstractNum>
  <w:abstractNum w:abstractNumId="2">
    <w:nsid w:val="00000008"/>
    <w:multiLevelType w:val="singleLevel"/>
    <w:tmpl w:val="00000008"/>
    <w:lvl w:ilvl="0" w:tentative="0">
      <w:start w:val="5"/>
      <w:numFmt w:val="decimal"/>
      <w:suff w:val="nothing"/>
      <w:lvlText w:val="%1."/>
      <w:lvlJc w:val="left"/>
    </w:lvl>
  </w:abstractNum>
  <w:abstractNum w:abstractNumId="3">
    <w:nsid w:val="00000009"/>
    <w:multiLevelType w:val="singleLevel"/>
    <w:tmpl w:val="00000009"/>
    <w:lvl w:ilvl="0" w:tentative="0">
      <w:start w:val="1"/>
      <w:numFmt w:val="chineseCounting"/>
      <w:suff w:val="nothing"/>
      <w:lvlText w:val="%1、"/>
      <w:lvlJc w:val="left"/>
    </w:lvl>
  </w:abstractNum>
  <w:abstractNum w:abstractNumId="4">
    <w:nsid w:val="0000000A"/>
    <w:multiLevelType w:val="singleLevel"/>
    <w:tmpl w:val="0000000A"/>
    <w:lvl w:ilvl="0" w:tentative="0">
      <w:start w:val="2"/>
      <w:numFmt w:val="decimal"/>
      <w:suff w:val="nothing"/>
      <w:lvlText w:val="%1."/>
      <w:lvlJc w:val="left"/>
    </w:lvl>
  </w:abstractNum>
  <w:abstractNum w:abstractNumId="5">
    <w:nsid w:val="0000000B"/>
    <w:multiLevelType w:val="singleLevel"/>
    <w:tmpl w:val="0000000B"/>
    <w:lvl w:ilvl="0" w:tentative="0">
      <w:start w:val="1"/>
      <w:numFmt w:val="decimal"/>
      <w:suff w:val="nothing"/>
      <w:lvlText w:val="（%1）"/>
      <w:lvlJc w:val="left"/>
    </w:lvl>
  </w:abstractNum>
  <w:abstractNum w:abstractNumId="6">
    <w:nsid w:val="0000000C"/>
    <w:multiLevelType w:val="singleLevel"/>
    <w:tmpl w:val="0000000C"/>
    <w:lvl w:ilvl="0" w:tentative="0">
      <w:start w:val="3"/>
      <w:numFmt w:val="decimal"/>
      <w:suff w:val="nothing"/>
      <w:lvlText w:val="%1."/>
      <w:lvlJc w:val="left"/>
    </w:lvl>
  </w:abstractNum>
  <w:abstractNum w:abstractNumId="7">
    <w:nsid w:val="0000000D"/>
    <w:multiLevelType w:val="singleLevel"/>
    <w:tmpl w:val="0000000D"/>
    <w:lvl w:ilvl="0" w:tentative="0">
      <w:start w:val="2"/>
      <w:numFmt w:val="chineseCounting"/>
      <w:suff w:val="nothing"/>
      <w:lvlText w:val="（%1）"/>
      <w:lvlJc w:val="left"/>
    </w:lvl>
  </w:abstractNum>
  <w:abstractNum w:abstractNumId="8">
    <w:nsid w:val="0000000E"/>
    <w:multiLevelType w:val="singleLevel"/>
    <w:tmpl w:val="0000000E"/>
    <w:lvl w:ilvl="0" w:tentative="0">
      <w:start w:val="1"/>
      <w:numFmt w:val="chineseCounting"/>
      <w:suff w:val="nothing"/>
      <w:lvlText w:val="（%1）"/>
      <w:lvlJc w:val="left"/>
    </w:lvl>
  </w:abstractNum>
  <w:num w:numId="1">
    <w:abstractNumId w:val="3"/>
  </w:num>
  <w:num w:numId="2">
    <w:abstractNumId w:val="1"/>
  </w:num>
  <w:num w:numId="3">
    <w:abstractNumId w:val="8"/>
  </w:num>
  <w:num w:numId="4">
    <w:abstractNumId w:val="4"/>
  </w:num>
  <w:num w:numId="5">
    <w:abstractNumId w:val="5"/>
  </w:num>
  <w:num w:numId="6">
    <w:abstractNumId w:val="6"/>
  </w:num>
  <w:num w:numId="7">
    <w:abstractNumId w:val="0"/>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4E4AEE"/>
    <w:rsid w:val="1C4E4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2"/>
      <w:lang w:val="en-US" w:eastAsia="zh-CN"/>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2019-07-22T08:39:00Z</dcterms:created>
  <dc:creator>Administrator</dc:creator>
  <cp:lastModifiedBy>Administrator</cp:lastModifiedBy>
  <dcterms:modified xsi:type="dcterms:W3CDTF">2019-07-22T08:41:02Z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