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cs="宋体"/>
          <w:b/>
          <w:bCs/>
          <w:color w:val="auto"/>
          <w:sz w:val="44"/>
          <w:szCs w:val="44"/>
          <w:highlight w:val="none"/>
          <w:lang w:eastAsia="zh-CN"/>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两庭及装备更新维护</w:t>
      </w:r>
    </w:p>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w:t>
      </w:r>
      <w:r>
        <w:rPr>
          <w:rFonts w:hint="eastAsia" w:ascii="宋体" w:hAnsi="宋体" w:cs="宋体"/>
          <w:color w:val="auto"/>
          <w:sz w:val="28"/>
          <w:szCs w:val="28"/>
          <w:lang w:eastAsia="zh-CN"/>
        </w:rPr>
        <w:t>两庭维修维护、装备更新</w:t>
      </w:r>
      <w:r>
        <w:rPr>
          <w:rFonts w:hint="eastAsia" w:ascii="宋体" w:hAnsi="宋体" w:eastAsia="宋体" w:cs="宋体"/>
          <w:color w:val="auto"/>
          <w:sz w:val="28"/>
          <w:szCs w:val="28"/>
          <w:lang w:eastAsia="zh-CN"/>
        </w:rPr>
        <w:t>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w:t>
      </w:r>
      <w:r>
        <w:rPr>
          <w:rFonts w:hint="eastAsia" w:ascii="宋体" w:hAnsi="宋体" w:cs="宋体"/>
          <w:color w:val="auto"/>
          <w:sz w:val="28"/>
          <w:szCs w:val="28"/>
          <w:lang w:eastAsia="zh-CN"/>
        </w:rPr>
        <w:t>一是为审判工作提供最新的技术装备，二是为审判工作提供良好、安全的环境，</w:t>
      </w:r>
      <w:r>
        <w:rPr>
          <w:rFonts w:hint="eastAsia" w:ascii="宋体" w:hAnsi="宋体" w:eastAsia="宋体" w:cs="宋体"/>
          <w:color w:val="auto"/>
          <w:sz w:val="28"/>
          <w:szCs w:val="28"/>
          <w:lang w:eastAsia="zh-CN"/>
        </w:rPr>
        <w:t>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 xml:space="preserve">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两庭及装备更新维护</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装备质量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更新老旧装备，为干警配备最新的装备，装备质量有保障（5年内无质量问题）</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工程质量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及时修缮陈旧的办公建筑及设备，为干警的审判工作提供一个良好的环境，修缮工程质量有保障，（5年内无质量问题），更好的为审判工作提供保障。</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两庭及装备更新维护资金</w:t>
      </w:r>
      <w:r>
        <w:rPr>
          <w:rFonts w:hint="eastAsia" w:ascii="宋体" w:hAnsi="宋体" w:eastAsia="宋体" w:cs="宋体"/>
          <w:color w:val="auto"/>
          <w:sz w:val="28"/>
          <w:szCs w:val="28"/>
          <w:highlight w:val="none"/>
          <w:lang w:eastAsia="zh-CN"/>
        </w:rPr>
        <w:t>为</w:t>
      </w:r>
      <w:r>
        <w:rPr>
          <w:rFonts w:hint="eastAsia" w:ascii="宋体" w:hAnsi="宋体" w:cs="宋体"/>
          <w:color w:val="auto"/>
          <w:sz w:val="28"/>
          <w:szCs w:val="28"/>
          <w:highlight w:val="none"/>
          <w:lang w:eastAsia="zh-CN"/>
        </w:rPr>
        <w:t>法庭的维修维护及装备更新</w:t>
      </w:r>
      <w:r>
        <w:rPr>
          <w:rFonts w:hint="eastAsia" w:ascii="宋体" w:hAnsi="宋体" w:eastAsia="宋体" w:cs="宋体"/>
          <w:color w:val="auto"/>
          <w:sz w:val="28"/>
          <w:szCs w:val="28"/>
          <w:highlight w:val="none"/>
          <w:lang w:eastAsia="zh-CN"/>
        </w:rPr>
        <w:t>提供了专门的资金支持，</w:t>
      </w:r>
      <w:r>
        <w:rPr>
          <w:rFonts w:hint="eastAsia" w:ascii="宋体" w:hAnsi="宋体" w:cs="宋体"/>
          <w:color w:val="auto"/>
          <w:sz w:val="28"/>
          <w:szCs w:val="28"/>
          <w:highlight w:val="none"/>
          <w:lang w:eastAsia="zh-CN"/>
        </w:rPr>
        <w:t>使得为</w:t>
      </w:r>
      <w:r>
        <w:rPr>
          <w:rFonts w:hint="eastAsia" w:ascii="宋体" w:hAnsi="宋体" w:cs="宋体"/>
          <w:b w:val="0"/>
          <w:bCs w:val="0"/>
          <w:color w:val="auto"/>
          <w:sz w:val="28"/>
          <w:szCs w:val="28"/>
          <w:highlight w:val="none"/>
          <w:lang w:val="en-US" w:eastAsia="zh-CN"/>
        </w:rPr>
        <w:t>干警配备最新的装备及优质的办公环境</w:t>
      </w:r>
      <w:r>
        <w:rPr>
          <w:rFonts w:hint="eastAsia" w:ascii="宋体" w:hAnsi="宋体" w:eastAsia="宋体" w:cs="宋体"/>
          <w:color w:val="auto"/>
          <w:sz w:val="28"/>
          <w:szCs w:val="28"/>
          <w:highlight w:val="none"/>
          <w:lang w:eastAsia="zh-CN"/>
        </w:rPr>
        <w:t>成为可能</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通过管理使用此项目资金，达到了保障审判、节约效能的目的。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日</w:t>
      </w:r>
    </w:p>
    <w:p>
      <w:pPr>
        <w:rPr>
          <w:rFonts w:hint="eastAsia" w:ascii="宋体" w:hAnsi="宋体" w:eastAsia="宋体" w:cs="宋体"/>
          <w:sz w:val="28"/>
          <w:szCs w:val="28"/>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00000008"/>
    <w:multiLevelType w:val="singleLevel"/>
    <w:tmpl w:val="00000008"/>
    <w:lvl w:ilvl="0" w:tentative="0">
      <w:start w:val="5"/>
      <w:numFmt w:val="decimal"/>
      <w:suff w:val="nothing"/>
      <w:lvlText w:val="%1."/>
      <w:lvlJc w:val="left"/>
    </w:lvl>
  </w:abstractNum>
  <w:abstractNum w:abstractNumId="3">
    <w:nsid w:val="00000009"/>
    <w:multiLevelType w:val="singleLevel"/>
    <w:tmpl w:val="00000009"/>
    <w:lvl w:ilvl="0" w:tentative="0">
      <w:start w:val="1"/>
      <w:numFmt w:val="chineseCounting"/>
      <w:suff w:val="nothing"/>
      <w:lvlText w:val="%1、"/>
      <w:lvlJc w:val="left"/>
    </w:lvl>
  </w:abstractNum>
  <w:abstractNum w:abstractNumId="4">
    <w:nsid w:val="0000000A"/>
    <w:multiLevelType w:val="singleLevel"/>
    <w:tmpl w:val="0000000A"/>
    <w:lvl w:ilvl="0" w:tentative="0">
      <w:start w:val="2"/>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C"/>
    <w:multiLevelType w:val="singleLevel"/>
    <w:tmpl w:val="0000000C"/>
    <w:lvl w:ilvl="0" w:tentative="0">
      <w:start w:val="3"/>
      <w:numFmt w:val="decimal"/>
      <w:suff w:val="nothing"/>
      <w:lvlText w:val="%1."/>
      <w:lvlJc w:val="left"/>
    </w:lvl>
  </w:abstractNum>
  <w:abstractNum w:abstractNumId="7">
    <w:nsid w:val="0000000D"/>
    <w:multiLevelType w:val="singleLevel"/>
    <w:tmpl w:val="0000000D"/>
    <w:lvl w:ilvl="0" w:tentative="0">
      <w:start w:val="2"/>
      <w:numFmt w:val="chineseCounting"/>
      <w:suff w:val="nothing"/>
      <w:lvlText w:val="（%1）"/>
      <w:lvlJc w:val="left"/>
    </w:lvl>
  </w:abstractNum>
  <w:abstractNum w:abstractNumId="8">
    <w:nsid w:val="0000000E"/>
    <w:multiLevelType w:val="singleLevel"/>
    <w:tmpl w:val="0000000E"/>
    <w:lvl w:ilvl="0" w:tentative="0">
      <w:start w:val="1"/>
      <w:numFmt w:val="chineseCounting"/>
      <w:suff w:val="nothing"/>
      <w:lvlText w:val="（%1）"/>
      <w:lvlJc w:val="left"/>
    </w:lvl>
  </w:abstractNum>
  <w:abstractNum w:abstractNumId="9">
    <w:nsid w:val="572AFAD5"/>
    <w:multiLevelType w:val="singleLevel"/>
    <w:tmpl w:val="572AFAD5"/>
    <w:lvl w:ilvl="0" w:tentative="0">
      <w:start w:val="1"/>
      <w:numFmt w:val="decimal"/>
      <w:suff w:val="nothing"/>
      <w:lvlText w:val="（%1）"/>
      <w:lvlJc w:val="left"/>
    </w:lvl>
  </w:abstractNum>
  <w:num w:numId="1">
    <w:abstractNumId w:val="3"/>
  </w:num>
  <w:num w:numId="2">
    <w:abstractNumId w:val="1"/>
  </w:num>
  <w:num w:numId="3">
    <w:abstractNumId w:val="8"/>
  </w:num>
  <w:num w:numId="4">
    <w:abstractNumId w:val="4"/>
  </w:num>
  <w:num w:numId="5">
    <w:abstractNumId w:val="5"/>
  </w:num>
  <w:num w:numId="6">
    <w:abstractNumId w:val="6"/>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C3E7B"/>
    <w:rsid w:val="42EC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2019-07-22T08:07:00Z</dcterms:created>
  <dc:creator>Administrator</dc:creator>
  <cp:lastModifiedBy>Administrator</cp:lastModifiedBy>
  <dcterms:modified xsi:type="dcterms:W3CDTF">2019-07-22T08:08:57Z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